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10CF" w14:textId="5306F4BF" w:rsidR="0020225E" w:rsidRDefault="0020225E" w:rsidP="0020225E">
      <w:pPr>
        <w:rPr>
          <w:lang w:val="en-GB" w:eastAsia="is-IS"/>
        </w:rPr>
      </w:pPr>
      <w:r w:rsidRPr="0031285F">
        <w:rPr>
          <w:sz w:val="28"/>
          <w:szCs w:val="28"/>
          <w:lang w:val="en-GB" w:eastAsia="is-IS"/>
        </w:rPr>
        <w:t>Efnisyfirlit</w:t>
      </w:r>
    </w:p>
    <w:p w14:paraId="6B6AC66A" w14:textId="77777777" w:rsidR="0020225E" w:rsidRPr="0031285F" w:rsidRDefault="0020225E" w:rsidP="0020225E">
      <w:pPr>
        <w:jc w:val="right"/>
        <w:rPr>
          <w:sz w:val="24"/>
          <w:szCs w:val="24"/>
          <w:lang w:val="en-GB" w:eastAsia="is-IS"/>
        </w:rPr>
      </w:pPr>
      <w:r w:rsidRPr="0031285F">
        <w:rPr>
          <w:sz w:val="24"/>
          <w:szCs w:val="24"/>
          <w:lang w:val="en-GB" w:eastAsia="is-IS"/>
        </w:rPr>
        <w:t>Bls.</w:t>
      </w:r>
    </w:p>
    <w:p w14:paraId="52EFE173" w14:textId="650D3A14" w:rsidR="00A11EA5" w:rsidRDefault="00A11EA5" w:rsidP="00A11EA5">
      <w:pPr>
        <w:rPr>
          <w:lang w:val="en-GB" w:eastAsia="is-IS"/>
        </w:rPr>
      </w:pPr>
    </w:p>
    <w:p w14:paraId="591618B0" w14:textId="77777777" w:rsidR="0020225E" w:rsidRPr="0031285F" w:rsidRDefault="0020225E" w:rsidP="0020225E">
      <w:pPr>
        <w:rPr>
          <w:sz w:val="28"/>
          <w:szCs w:val="28"/>
          <w:lang w:val="en-GB" w:eastAsia="is-IS"/>
        </w:rPr>
      </w:pPr>
      <w:r w:rsidRPr="0031285F">
        <w:rPr>
          <w:sz w:val="28"/>
          <w:szCs w:val="28"/>
          <w:lang w:val="en-GB" w:eastAsia="is-IS"/>
        </w:rPr>
        <w:t>Myndayfirlit</w:t>
      </w:r>
    </w:p>
    <w:p w14:paraId="62DAB346" w14:textId="4779EFAD" w:rsidR="00F14E31" w:rsidRDefault="00F14E31" w:rsidP="0020225E">
      <w:pPr>
        <w:rPr>
          <w:lang w:val="en-GB" w:eastAsia="is-IS"/>
        </w:rPr>
      </w:pPr>
    </w:p>
    <w:p w14:paraId="0D22E353" w14:textId="77777777" w:rsidR="0020225E" w:rsidRDefault="0020225E" w:rsidP="0020225E">
      <w:pPr>
        <w:rPr>
          <w:sz w:val="28"/>
          <w:szCs w:val="28"/>
          <w:lang w:val="en-GB" w:eastAsia="is-IS"/>
        </w:rPr>
      </w:pPr>
      <w:r w:rsidRPr="0031285F">
        <w:rPr>
          <w:sz w:val="28"/>
          <w:szCs w:val="28"/>
          <w:lang w:val="en-GB" w:eastAsia="is-IS"/>
        </w:rPr>
        <w:t>Töfluyfirlit</w:t>
      </w:r>
    </w:p>
    <w:p w14:paraId="34A3B85F" w14:textId="2BEC9498" w:rsidR="00C1570D" w:rsidRDefault="00C1570D" w:rsidP="0020225E">
      <w:pPr>
        <w:rPr>
          <w:lang w:val="en-GB" w:eastAsia="is-IS"/>
        </w:rPr>
      </w:pPr>
    </w:p>
    <w:p w14:paraId="2E0D4F68" w14:textId="77777777" w:rsidR="00562CEE" w:rsidRDefault="00562CEE" w:rsidP="0020225E">
      <w:pPr>
        <w:rPr>
          <w:lang w:val="en-GB" w:eastAsia="is-IS"/>
        </w:rPr>
      </w:pPr>
    </w:p>
    <w:p w14:paraId="47922872" w14:textId="594A7B6B" w:rsidR="00991763" w:rsidRPr="00637A69" w:rsidRDefault="00991763" w:rsidP="00637A69">
      <w:pPr>
        <w:spacing w:after="60"/>
        <w:rPr>
          <w:b/>
          <w:bCs/>
          <w:sz w:val="24"/>
          <w:szCs w:val="28"/>
        </w:rPr>
      </w:pPr>
      <w:r w:rsidRPr="00637A69">
        <w:rPr>
          <w:b/>
          <w:bCs/>
          <w:sz w:val="24"/>
          <w:szCs w:val="28"/>
        </w:rPr>
        <w:t>Alþýðulýðveldið</w:t>
      </w:r>
      <w:r w:rsidR="00DB22AC" w:rsidRPr="00637A69">
        <w:rPr>
          <w:b/>
          <w:bCs/>
          <w:sz w:val="24"/>
          <w:szCs w:val="28"/>
        </w:rPr>
        <w:t xml:space="preserve"> Kína</w:t>
      </w:r>
    </w:p>
    <w:p w14:paraId="3AE18D46" w14:textId="77777777" w:rsidR="00CA2D03" w:rsidRDefault="00CA2D03" w:rsidP="00562CEE">
      <w:r>
        <w:t>Tadsíkistan</w:t>
      </w:r>
    </w:p>
    <w:p w14:paraId="79F57DFC" w14:textId="4112D435" w:rsidR="00CA2D03" w:rsidRDefault="00CA2D03" w:rsidP="00562CEE">
      <w:r>
        <w:t>Rússland</w:t>
      </w:r>
    </w:p>
    <w:p w14:paraId="59EF184B" w14:textId="77777777" w:rsidR="00CA2D03" w:rsidRDefault="00CA2D03" w:rsidP="00562CEE">
      <w:r>
        <w:t>Pakistan</w:t>
      </w:r>
    </w:p>
    <w:p w14:paraId="4483D6E1" w14:textId="77777777" w:rsidR="00CA2D03" w:rsidRDefault="00CA2D03" w:rsidP="00562CEE">
      <w:r>
        <w:t>Afganistan</w:t>
      </w:r>
    </w:p>
    <w:p w14:paraId="355E0815" w14:textId="31070929" w:rsidR="00562CEE" w:rsidRDefault="00562CEE" w:rsidP="00562CEE">
      <w:r>
        <w:t>Norður-Kóre</w:t>
      </w:r>
      <w:r w:rsidR="00D718AE">
        <w:t>a</w:t>
      </w:r>
    </w:p>
    <w:p w14:paraId="7368E73E" w14:textId="77777777" w:rsidR="00562CEE" w:rsidRDefault="00562CEE" w:rsidP="00562CEE">
      <w:r>
        <w:t>Nepal</w:t>
      </w:r>
    </w:p>
    <w:p w14:paraId="1A7C18A8" w14:textId="2892849E" w:rsidR="00562CEE" w:rsidRDefault="00562CEE" w:rsidP="00562CEE">
      <w:r>
        <w:t>Mongólí</w:t>
      </w:r>
      <w:r w:rsidR="00D718AE">
        <w:t>a</w:t>
      </w:r>
    </w:p>
    <w:p w14:paraId="25CAA47F" w14:textId="77777777" w:rsidR="00562CEE" w:rsidRDefault="00562CEE" w:rsidP="00562CEE">
      <w:r>
        <w:t>Laos</w:t>
      </w:r>
    </w:p>
    <w:p w14:paraId="6A157034" w14:textId="77777777" w:rsidR="00562CEE" w:rsidRDefault="00562CEE" w:rsidP="00562CEE">
      <w:r>
        <w:t>Kirgistan</w:t>
      </w:r>
    </w:p>
    <w:p w14:paraId="537E7373" w14:textId="77777777" w:rsidR="00562CEE" w:rsidRDefault="00562CEE" w:rsidP="00562CEE">
      <w:r>
        <w:t>Kasakstan</w:t>
      </w:r>
    </w:p>
    <w:p w14:paraId="351FE695" w14:textId="17F67ACA" w:rsidR="00562CEE" w:rsidRDefault="00562CEE" w:rsidP="00562CEE">
      <w:r>
        <w:t>Indland</w:t>
      </w:r>
    </w:p>
    <w:p w14:paraId="7B88C76A" w14:textId="1A29C7FC" w:rsidR="00CA2D03" w:rsidRDefault="00CA2D03" w:rsidP="00562CEE">
      <w:r>
        <w:t>Víetnam</w:t>
      </w:r>
    </w:p>
    <w:p w14:paraId="495719C7" w14:textId="77777777" w:rsidR="00CA2D03" w:rsidRDefault="00CA2D03" w:rsidP="00562CEE">
      <w:r>
        <w:t>Bútan</w:t>
      </w:r>
    </w:p>
    <w:p w14:paraId="2D84D344" w14:textId="77777777" w:rsidR="00CA2D03" w:rsidRDefault="00CA2D03" w:rsidP="00562CEE">
      <w:r>
        <w:t>Búrma</w:t>
      </w:r>
    </w:p>
    <w:p w14:paraId="55FB9FCA" w14:textId="55EE06B1" w:rsidR="00420EF2" w:rsidRDefault="00420EF2" w:rsidP="004771BA">
      <w:pPr>
        <w:pStyle w:val="Texti1"/>
        <w:spacing w:before="240"/>
      </w:pPr>
      <w:r w:rsidRPr="00420EF2">
        <w:t>Alþýðulýðveldið</w:t>
      </w:r>
      <w:r w:rsidR="00DB22AC">
        <w:t xml:space="preserve"> Kína</w:t>
      </w:r>
      <w:r>
        <w:t xml:space="preserve"> nær yfir megnið af því svæði sem í menningarlegu, landfræðilegu og sögulegu samhengi hefur verið kallað</w:t>
      </w:r>
      <w:r w:rsidR="00DB22AC">
        <w:t xml:space="preserve"> Kína</w:t>
      </w:r>
      <w:r w:rsidR="00BF3414">
        <w:t>.</w:t>
      </w:r>
      <w:r w:rsidR="00DB22AC">
        <w:t xml:space="preserve"> </w:t>
      </w:r>
      <w:r>
        <w:t>Það er fjölmennasta ríki veraldar með yfir 1,4 milljarða íbúa sem flestir teljast til han-</w:t>
      </w:r>
      <w:r w:rsidR="00562CEE">
        <w:t>Kin</w:t>
      </w:r>
      <w:r>
        <w:t>verja</w:t>
      </w:r>
      <w:r w:rsidR="00BF3414">
        <w:t>.</w:t>
      </w:r>
      <w:r w:rsidR="00DB22AC">
        <w:t xml:space="preserve"> </w:t>
      </w:r>
      <w:r>
        <w:t>Það er stærsta ríki Austur-Asíu að flatarmáli og það fjórða stærsta í heiminum</w:t>
      </w:r>
      <w:r w:rsidR="00BF3414">
        <w:t>.</w:t>
      </w:r>
      <w:r w:rsidR="00DB22AC">
        <w:t xml:space="preserve"> </w:t>
      </w:r>
      <w:r>
        <w:t>Ríkið á landamæri að fjórtán ríkjum sem talin eru upp hér að framan.</w:t>
      </w:r>
    </w:p>
    <w:p w14:paraId="3D448176" w14:textId="1F8FE60A" w:rsidR="00562CEE" w:rsidRDefault="00562CEE" w:rsidP="00420EF2">
      <w:pPr>
        <w:pStyle w:val="Texti1"/>
      </w:pPr>
      <w:r>
        <w:rPr>
          <w:noProof/>
        </w:rPr>
        <w:drawing>
          <wp:inline distT="0" distB="0" distL="0" distR="0" wp14:anchorId="6E78E093" wp14:editId="6C4E4743">
            <wp:extent cx="869015" cy="432000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15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EA8E" w14:textId="1DF7C03C" w:rsidR="00347FC8" w:rsidRPr="006C52EB" w:rsidRDefault="00A74E2F" w:rsidP="006C52EB">
      <w:pPr>
        <w:rPr>
          <w:b/>
          <w:bCs/>
          <w:sz w:val="22"/>
          <w:szCs w:val="24"/>
        </w:rPr>
      </w:pPr>
      <w:r w:rsidRPr="006C52EB">
        <w:rPr>
          <w:b/>
          <w:bCs/>
          <w:sz w:val="22"/>
          <w:szCs w:val="24"/>
        </w:rPr>
        <w:t>Tungumál</w:t>
      </w:r>
    </w:p>
    <w:p w14:paraId="07C0FC47" w14:textId="025AD03B" w:rsidR="00347FC8" w:rsidRDefault="00562CEE" w:rsidP="002B6903">
      <w:pPr>
        <w:pStyle w:val="Texti1"/>
      </w:pPr>
      <w:r>
        <w:t>Kin</w:t>
      </w:r>
      <w:r w:rsidR="00A74E2F">
        <w:t>verska er það tungumál sem flestir eiga að móðurmáli ef litið er svo á að allar mállýskurnar séu undir sama hatti</w:t>
      </w:r>
      <w:r w:rsidR="00BF3414">
        <w:t>.</w:t>
      </w:r>
      <w:r w:rsidR="00DB22AC">
        <w:t xml:space="preserve"> </w:t>
      </w:r>
      <w:r w:rsidR="00347FC8">
        <w:t xml:space="preserve">Í </w:t>
      </w:r>
      <w:r>
        <w:t>kin</w:t>
      </w:r>
      <w:r w:rsidR="00347FC8">
        <w:t>versku eru margar ólíkar mállýskur og mismunur þeirra getur verið svo mikill að þær skiljast ekki innbyrðis</w:t>
      </w:r>
      <w:r w:rsidR="00BF3414">
        <w:t>.</w:t>
      </w:r>
      <w:r w:rsidR="00DB22AC">
        <w:t xml:space="preserve"> </w:t>
      </w:r>
      <w:r w:rsidR="00347FC8">
        <w:t>Hið opinbera talmál í</w:t>
      </w:r>
      <w:r w:rsidR="00DB22AC">
        <w:t xml:space="preserve"> Kína</w:t>
      </w:r>
      <w:r w:rsidR="00347FC8">
        <w:t xml:space="preserve"> heitir Putonghua</w:t>
      </w:r>
      <w:r w:rsidR="00420EF2">
        <w:t>,</w:t>
      </w:r>
      <w:r w:rsidR="00347FC8">
        <w:t xml:space="preserve"> eða „staðlaða málið“</w:t>
      </w:r>
      <w:r w:rsidR="00420EF2">
        <w:t xml:space="preserve"> </w:t>
      </w:r>
      <w:r w:rsidR="00347FC8">
        <w:t>og er afbrigði af mandarín-mállýsku sem er útbreiddasta mállýskan</w:t>
      </w:r>
      <w:r w:rsidR="00420EF2">
        <w:t xml:space="preserve"> í</w:t>
      </w:r>
      <w:r w:rsidR="00DB22AC">
        <w:t xml:space="preserve"> Kína</w:t>
      </w:r>
      <w:r w:rsidR="00BF3414">
        <w:t>.</w:t>
      </w:r>
      <w:r w:rsidR="00DB22AC">
        <w:t xml:space="preserve"> </w:t>
      </w:r>
      <w:r w:rsidR="00347FC8">
        <w:t>Putonghua byggist fyrst og fremst á Peking-mállýsku (afbrigði af mandarín) og er töluð við kennslu í skólum og í útsendingum ljósvakamiðla</w:t>
      </w:r>
      <w:r w:rsidR="00BF3414">
        <w:t>.</w:t>
      </w:r>
      <w:r w:rsidR="00DB22AC">
        <w:t xml:space="preserve"> </w:t>
      </w:r>
      <w:r w:rsidR="002B6903">
        <w:t xml:space="preserve">Tala má um </w:t>
      </w:r>
      <w:r>
        <w:t>kin</w:t>
      </w:r>
      <w:r w:rsidR="002B6903">
        <w:t>versku mállýskurnar sem mállýskur eins tungumáls</w:t>
      </w:r>
      <w:r w:rsidR="00420EF2">
        <w:t>,</w:t>
      </w:r>
      <w:r w:rsidR="002B6903">
        <w:t xml:space="preserve"> eða sem sjálfstæð tungumál innan </w:t>
      </w:r>
      <w:r>
        <w:t>kin</w:t>
      </w:r>
      <w:r w:rsidR="002B6903">
        <w:t>verska málastofnsins</w:t>
      </w:r>
      <w:r w:rsidR="00BF3414">
        <w:t>.</w:t>
      </w:r>
      <w:r w:rsidR="00DB22AC">
        <w:t xml:space="preserve"> </w:t>
      </w:r>
      <w:r w:rsidR="002B6903">
        <w:t>Mállýskurnar skiptast sjálfar í minni mállýskur og stöðluð talmál.</w:t>
      </w:r>
    </w:p>
    <w:p w14:paraId="36CBEF3D" w14:textId="23795FE7" w:rsidR="00211148" w:rsidRDefault="00347FC8" w:rsidP="003F0BF2">
      <w:pPr>
        <w:spacing w:before="240" w:after="240"/>
      </w:pPr>
      <w:r>
        <w:t>Aðrar algengar mállýskur eru kantónska sem er t.d</w:t>
      </w:r>
      <w:r w:rsidR="00BF3414">
        <w:t>.</w:t>
      </w:r>
      <w:r w:rsidR="00695B6B">
        <w:t xml:space="preserve"> </w:t>
      </w:r>
      <w:r>
        <w:t>töluð í Kanton-héraðinu og Hong Kong, Sichuan-mállýska sem er töluð í Sichuan-héraði og Shanghai-mállýskan sem er aðallega bundin við borgina Sjangh</w:t>
      </w:r>
      <w:r>
        <w:rPr>
          <w:rFonts w:hint="eastAsia"/>
        </w:rPr>
        <w:t>æ</w:t>
      </w:r>
      <w: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A74E2F" w:rsidRPr="00A74E2F" w14:paraId="7B15FCA5" w14:textId="77777777" w:rsidTr="00A7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BE1574" w14:textId="77777777" w:rsidR="00A74E2F" w:rsidRPr="00A74E2F" w:rsidRDefault="00A74E2F" w:rsidP="00A74E2F">
            <w:pPr>
              <w:spacing w:before="40" w:after="40"/>
              <w:ind w:left="113" w:right="113"/>
              <w:rPr>
                <w:b w:val="0"/>
                <w:bCs w:val="0"/>
              </w:rPr>
            </w:pPr>
            <w:r w:rsidRPr="00847399">
              <w:t>Tungumál</w:t>
            </w:r>
          </w:p>
        </w:tc>
        <w:tc>
          <w:tcPr>
            <w:tcW w:w="1701" w:type="dxa"/>
          </w:tcPr>
          <w:p w14:paraId="5D4A0105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47399">
              <w:t>Fjöldi</w:t>
            </w:r>
            <w:r w:rsidRPr="00A74E2F">
              <w:rPr>
                <w:b w:val="0"/>
                <w:bCs w:val="0"/>
              </w:rPr>
              <w:t xml:space="preserve"> </w:t>
            </w:r>
          </w:p>
        </w:tc>
      </w:tr>
      <w:tr w:rsidR="00A74E2F" w:rsidRPr="00A74E2F" w14:paraId="1AA51CD9" w14:textId="77777777" w:rsidTr="00A7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8A525C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Enska</w:t>
            </w:r>
          </w:p>
        </w:tc>
        <w:tc>
          <w:tcPr>
            <w:tcW w:w="1701" w:type="dxa"/>
          </w:tcPr>
          <w:p w14:paraId="7686562E" w14:textId="2037875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E2F">
              <w:t>1,35 milljarða</w:t>
            </w:r>
            <w:r>
              <w:t>r</w:t>
            </w:r>
          </w:p>
        </w:tc>
      </w:tr>
      <w:tr w:rsidR="00A74E2F" w:rsidRPr="00A74E2F" w14:paraId="6EF32D86" w14:textId="77777777" w:rsidTr="00A7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50674E" w14:textId="22835825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Mandarínska (</w:t>
            </w:r>
            <w:r w:rsidR="00562CEE">
              <w:t>kin</w:t>
            </w:r>
            <w:r w:rsidRPr="00A74E2F">
              <w:t>verska)</w:t>
            </w:r>
          </w:p>
        </w:tc>
        <w:tc>
          <w:tcPr>
            <w:tcW w:w="1701" w:type="dxa"/>
          </w:tcPr>
          <w:p w14:paraId="6697F732" w14:textId="2F4081F2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E2F">
              <w:t>1,12 milljarða</w:t>
            </w:r>
            <w:r>
              <w:t>r</w:t>
            </w:r>
          </w:p>
        </w:tc>
      </w:tr>
      <w:tr w:rsidR="00A74E2F" w:rsidRPr="00A74E2F" w14:paraId="2D1F4A67" w14:textId="77777777" w:rsidTr="00A7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2267142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Hindí</w:t>
            </w:r>
          </w:p>
        </w:tc>
        <w:tc>
          <w:tcPr>
            <w:tcW w:w="1701" w:type="dxa"/>
          </w:tcPr>
          <w:p w14:paraId="17D3A2F5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E2F">
              <w:t>600 milljónir</w:t>
            </w:r>
          </w:p>
        </w:tc>
      </w:tr>
      <w:tr w:rsidR="00A74E2F" w:rsidRPr="00A74E2F" w14:paraId="1DA86675" w14:textId="77777777" w:rsidTr="00A7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762125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Spænska</w:t>
            </w:r>
          </w:p>
        </w:tc>
        <w:tc>
          <w:tcPr>
            <w:tcW w:w="1701" w:type="dxa"/>
          </w:tcPr>
          <w:p w14:paraId="62E2461B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E2F">
              <w:t>543 milljónir</w:t>
            </w:r>
          </w:p>
        </w:tc>
      </w:tr>
      <w:tr w:rsidR="00A74E2F" w:rsidRPr="00A74E2F" w14:paraId="617530BC" w14:textId="77777777" w:rsidTr="00A7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6F5884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Arabíska</w:t>
            </w:r>
          </w:p>
        </w:tc>
        <w:tc>
          <w:tcPr>
            <w:tcW w:w="1701" w:type="dxa"/>
          </w:tcPr>
          <w:p w14:paraId="2AA39AC5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E2F">
              <w:t>274 milljónir</w:t>
            </w:r>
          </w:p>
        </w:tc>
      </w:tr>
      <w:tr w:rsidR="00A74E2F" w:rsidRPr="00A74E2F" w14:paraId="3FD07A3A" w14:textId="77777777" w:rsidTr="00A7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DB8CD6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Bengalí</w:t>
            </w:r>
          </w:p>
        </w:tc>
        <w:tc>
          <w:tcPr>
            <w:tcW w:w="1701" w:type="dxa"/>
          </w:tcPr>
          <w:p w14:paraId="6CB6E733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E2F">
              <w:t>268 milljónir</w:t>
            </w:r>
          </w:p>
        </w:tc>
      </w:tr>
      <w:tr w:rsidR="00A74E2F" w:rsidRPr="00A74E2F" w14:paraId="0E1D3810" w14:textId="77777777" w:rsidTr="00A7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EDCFB9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Franska</w:t>
            </w:r>
          </w:p>
        </w:tc>
        <w:tc>
          <w:tcPr>
            <w:tcW w:w="1701" w:type="dxa"/>
          </w:tcPr>
          <w:p w14:paraId="2D46BF14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E2F">
              <w:t>267 milljónir</w:t>
            </w:r>
          </w:p>
        </w:tc>
      </w:tr>
      <w:tr w:rsidR="00A74E2F" w:rsidRPr="00A74E2F" w14:paraId="0FDC952E" w14:textId="77777777" w:rsidTr="00A7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FC7078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Rússneska</w:t>
            </w:r>
          </w:p>
        </w:tc>
        <w:tc>
          <w:tcPr>
            <w:tcW w:w="1701" w:type="dxa"/>
          </w:tcPr>
          <w:p w14:paraId="1C7356FB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E2F">
              <w:t>258 milljónir</w:t>
            </w:r>
          </w:p>
        </w:tc>
      </w:tr>
      <w:tr w:rsidR="00A74E2F" w:rsidRPr="00A74E2F" w14:paraId="152A4E8B" w14:textId="77777777" w:rsidTr="00A7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C53CFD1" w14:textId="77777777" w:rsidR="00A74E2F" w:rsidRPr="00A74E2F" w:rsidRDefault="00A74E2F" w:rsidP="00A74E2F">
            <w:pPr>
              <w:spacing w:before="40" w:after="40"/>
              <w:ind w:left="113" w:right="113"/>
            </w:pPr>
            <w:r w:rsidRPr="00A74E2F">
              <w:t>Portúgalska</w:t>
            </w:r>
          </w:p>
        </w:tc>
        <w:tc>
          <w:tcPr>
            <w:tcW w:w="1701" w:type="dxa"/>
          </w:tcPr>
          <w:p w14:paraId="5658510D" w14:textId="77777777" w:rsidR="00A74E2F" w:rsidRPr="00A74E2F" w:rsidRDefault="00A74E2F" w:rsidP="00A74E2F">
            <w:pPr>
              <w:spacing w:before="40" w:after="4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E2F">
              <w:t>258 milljónir</w:t>
            </w:r>
          </w:p>
        </w:tc>
      </w:tr>
    </w:tbl>
    <w:p w14:paraId="72F1933D" w14:textId="77777777" w:rsidR="005E53F3" w:rsidRDefault="005E53F3" w:rsidP="00B63E0D">
      <w:pPr>
        <w:pStyle w:val="Heading1"/>
      </w:pPr>
      <w:r w:rsidRPr="00EC5DCE">
        <w:lastRenderedPageBreak/>
        <w:t>Höfuðborg</w:t>
      </w:r>
    </w:p>
    <w:p w14:paraId="7F4CFC26" w14:textId="306AE978" w:rsidR="005E53F3" w:rsidRDefault="005E53F3" w:rsidP="005E53F3">
      <w:pPr>
        <w:pStyle w:val="Texti1"/>
      </w:pPr>
      <w:r>
        <w:t>Höfuðborg Alþýðulýðveldisins</w:t>
      </w:r>
      <w:r w:rsidR="00DB22AC">
        <w:t xml:space="preserve"> Kína</w:t>
      </w:r>
      <w:r>
        <w:t xml:space="preserve"> er Peking</w:t>
      </w:r>
      <w:r>
        <w:rPr>
          <w:rStyle w:val="FootnoteReference"/>
        </w:rPr>
        <w:footnoteReference w:id="1"/>
      </w:r>
      <w:r>
        <w:t xml:space="preserve"> (stundum ritað Beijing)</w:t>
      </w:r>
      <w:r w:rsidR="00BF3414">
        <w:t>.</w:t>
      </w:r>
      <w:r w:rsidR="00DB22AC">
        <w:t xml:space="preserve"> </w:t>
      </w:r>
      <w:r>
        <w:t xml:space="preserve">Á </w:t>
      </w:r>
      <w:r w:rsidR="00562CEE">
        <w:t>kin</w:t>
      </w:r>
      <w:r>
        <w:t>versku merkir nafnið „Norður-höfuðborg“</w:t>
      </w:r>
      <w:r w:rsidR="00BF3414">
        <w:t>.</w:t>
      </w:r>
      <w:r w:rsidR="00DB22AC">
        <w:t xml:space="preserve"> </w:t>
      </w:r>
      <w:r>
        <w:rPr>
          <w:rFonts w:hint="eastAsia"/>
        </w:rPr>
        <w:t>Á</w:t>
      </w:r>
      <w:r>
        <w:t>rið 2020 bjuggu um 19 milljónir búa í Peking í borgarkjarnanum, en heildaríbúafjöldi undir lögsögu borgarinnar (stórborgarsvæðinu) var um 21,9 milljónir</w:t>
      </w:r>
      <w:r w:rsidR="00BF3414">
        <w:t>.</w:t>
      </w:r>
      <w:r w:rsidR="00DB22AC">
        <w:t xml:space="preserve"> </w:t>
      </w:r>
      <w:r>
        <w:t>Peking er miðpunktur mennta og menningar auk þess sem stjórnvöld stýra landinu þaðan</w:t>
      </w:r>
      <w:r w:rsidR="00BF3414">
        <w:t>.</w:t>
      </w:r>
      <w:r w:rsidR="00DB22AC">
        <w:t xml:space="preserve"> </w:t>
      </w:r>
      <w:r>
        <w:t>Sjanghæ og Hong Kong eru hins vegar meira áberandi hvað varðar efnahagsleg umsvif</w:t>
      </w:r>
      <w:r w:rsidR="00BF3414">
        <w:t>.</w:t>
      </w:r>
      <w:r w:rsidR="00DB22AC">
        <w:t xml:space="preserve"> </w:t>
      </w:r>
      <w:r>
        <w:t>Borgin er kunn fyrir ríkulegar hallir, hof og gríðarstóra steinveggi og hlið</w:t>
      </w:r>
      <w:r w:rsidR="00B63E0D">
        <w:rPr>
          <w:rStyle w:val="FootnoteReference"/>
        </w:rPr>
        <w:footnoteReference w:id="2"/>
      </w:r>
      <w:r w:rsidR="00B63E0D">
        <w:t>.</w:t>
      </w:r>
    </w:p>
    <w:p w14:paraId="04D290F2" w14:textId="77777777" w:rsidR="005E53F3" w:rsidRDefault="005E53F3" w:rsidP="005E53F3">
      <w:pPr>
        <w:pStyle w:val="Heading2"/>
      </w:pPr>
      <w:r w:rsidRPr="004763AD">
        <w:t>Samgöngur</w:t>
      </w:r>
    </w:p>
    <w:p w14:paraId="3A518E9B" w14:textId="46E09B52" w:rsidR="009A7C74" w:rsidRDefault="005E53F3" w:rsidP="00FD0E1B">
      <w:pPr>
        <w:pStyle w:val="Texti1"/>
      </w:pPr>
      <w:r>
        <w:t>Segja má að Peking sé mikilvægasta samgöngumiðstöð landsins</w:t>
      </w:r>
      <w:r w:rsidR="00BF3414">
        <w:t>.</w:t>
      </w:r>
      <w:r w:rsidR="00DB22AC">
        <w:t xml:space="preserve"> </w:t>
      </w:r>
      <w:r>
        <w:t>Umhverfis borgina liggja fimm hringvegir</w:t>
      </w:r>
      <w:r w:rsidR="00BF3414">
        <w:t>.</w:t>
      </w:r>
      <w:r w:rsidR="00DB22AC">
        <w:t xml:space="preserve"> </w:t>
      </w:r>
      <w:r>
        <w:t>Í borginni er neðanjarðarlestakerfi sem tekið var í notkun árið 1971</w:t>
      </w:r>
      <w:r w:rsidR="00BF3414">
        <w:t>.</w:t>
      </w:r>
      <w:r w:rsidR="00DB22AC">
        <w:t xml:space="preserve"> </w:t>
      </w:r>
      <w:r>
        <w:t>Auk þess eru léttlestir ofanjarðar sem þjóna samgöngum innan borgarinnar</w:t>
      </w:r>
      <w:r w:rsidR="00BF3414">
        <w:t>.</w:t>
      </w:r>
      <w:r w:rsidR="00DB22AC">
        <w:t xml:space="preserve"> </w:t>
      </w:r>
      <w:r>
        <w:t>Þrjár lestarstöðvar þjóna samgöngum inn og úr borginni auk nokkurra annarra lestarstöðva í útjöðrum borgarinnar; þangað koma mörghundruð lestir á hverjum degi</w:t>
      </w:r>
      <w:r w:rsidR="00BF3414">
        <w:t>.</w:t>
      </w:r>
      <w:r w:rsidR="00DB22AC">
        <w:t xml:space="preserve"> </w:t>
      </w:r>
    </w:p>
    <w:p w14:paraId="5F5A9869" w14:textId="5395E5FB" w:rsidR="005E53F3" w:rsidRDefault="005E53F3" w:rsidP="00DE092E">
      <w:pPr>
        <w:pStyle w:val="Texti2"/>
      </w:pPr>
      <w:r>
        <w:t>Um 20 km norðaustur af miðborginni er Alþjóðaflugvöllurinn í Peking</w:t>
      </w:r>
      <w:r w:rsidR="00BF3414">
        <w:t>.</w:t>
      </w:r>
      <w:r w:rsidR="00DB22AC">
        <w:t xml:space="preserve"> </w:t>
      </w:r>
      <w:r>
        <w:t>Hluti flugvallarins var gerður upp fyrir Ólympíuleikana 2008</w:t>
      </w:r>
      <w:r w:rsidR="00BF3414">
        <w:t>.</w:t>
      </w:r>
      <w:r w:rsidR="00DB22AC">
        <w:t xml:space="preserve"> </w:t>
      </w:r>
    </w:p>
    <w:p w14:paraId="42D293E1" w14:textId="1E5ED068" w:rsidR="00A74E2F" w:rsidRPr="00BE7941" w:rsidRDefault="00A74E2F" w:rsidP="00A74E2F">
      <w:pPr>
        <w:pStyle w:val="Heading2"/>
      </w:pPr>
      <w:r>
        <w:t>Fáni</w:t>
      </w:r>
      <w:r w:rsidR="00DB22AC">
        <w:t xml:space="preserve"> Kína</w:t>
      </w:r>
    </w:p>
    <w:tbl>
      <w:tblPr>
        <w:tblStyle w:val="TableGrid"/>
        <w:tblpPr w:leftFromText="141" w:rightFromText="141" w:vertAnchor="text" w:horzAnchor="margin" w:tblpXSpec="right" w:tblpY="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</w:tblGrid>
      <w:tr w:rsidR="00A74E2F" w:rsidRPr="00290C20" w14:paraId="2B8E0B05" w14:textId="77777777" w:rsidTr="00783BDE">
        <w:trPr>
          <w:trHeight w:val="624"/>
        </w:trPr>
        <w:tc>
          <w:tcPr>
            <w:tcW w:w="1928" w:type="dxa"/>
            <w:vAlign w:val="center"/>
          </w:tcPr>
          <w:p w14:paraId="00788B8B" w14:textId="2CE7BF06" w:rsidR="00A74E2F" w:rsidRPr="00290C20" w:rsidRDefault="003606E2" w:rsidP="009D63C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DC02555" wp14:editId="0AB4B47B">
                  <wp:extent cx="830769" cy="540000"/>
                  <wp:effectExtent l="19050" t="19050" r="2667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69" cy="5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06856" w14:textId="607EE5F4" w:rsidR="00A74E2F" w:rsidRPr="00EC5DCE" w:rsidRDefault="00A74E2F" w:rsidP="00FD0E1B">
      <w:pPr>
        <w:pStyle w:val="Texti1"/>
      </w:pPr>
      <w:r w:rsidRPr="00453DA4">
        <w:t>Fáni Alþýðulýðveldisins</w:t>
      </w:r>
      <w:r w:rsidR="00DB22AC">
        <w:t xml:space="preserve"> Kína</w:t>
      </w:r>
      <w:r w:rsidRPr="00453DA4">
        <w:t xml:space="preserve"> var tekinn upp við stofnun þjóðarinnar í júni 1949</w:t>
      </w:r>
      <w:r w:rsidR="00BF3414">
        <w:t>.</w:t>
      </w:r>
      <w:r w:rsidR="00DB22AC">
        <w:t xml:space="preserve"> </w:t>
      </w:r>
      <w:r w:rsidRPr="00453DA4">
        <w:t>Fáninn er rauður með eina stóru stjörnu í vinstra horninu og fjórar minni stjörnur í kringum hana</w:t>
      </w:r>
      <w:r w:rsidR="00BF3414">
        <w:t>.</w:t>
      </w:r>
      <w:r w:rsidR="00DB22AC">
        <w:t xml:space="preserve"> </w:t>
      </w:r>
      <w:r w:rsidRPr="00453DA4">
        <w:t>Stærsta stjarnan táknar samheldni undir stjórn Kommúnistaflokks</w:t>
      </w:r>
      <w:r w:rsidR="00DB22AC">
        <w:t xml:space="preserve"> Kína</w:t>
      </w:r>
      <w:r w:rsidRPr="00453DA4">
        <w:t xml:space="preserve"> og hinar minni stjörnurnar tákna fjórar samfélagstéttir</w:t>
      </w:r>
      <w:r w:rsidR="00DB22AC">
        <w:t xml:space="preserve"> Kína</w:t>
      </w:r>
      <w:r w:rsidR="00BF3414">
        <w:t>.</w:t>
      </w:r>
      <w:r w:rsidR="00DB22AC">
        <w:t xml:space="preserve"> </w:t>
      </w:r>
      <w:r w:rsidRPr="00453DA4">
        <w:t>Rauði liturinn táknar kommúnistabyltinguna</w:t>
      </w:r>
      <w:r w:rsidR="00BF3414">
        <w:t>.</w:t>
      </w:r>
      <w:r w:rsidR="00DB22AC">
        <w:t xml:space="preserve"> </w:t>
      </w:r>
      <w:r w:rsidRPr="00453DA4">
        <w:t>Fáninn var hannaður af Zeng Liasong en var hann valinn úr 38 fánum í lokavali úr um 3000 fánum sem voru sendnir til ríkisstjórnarinnar</w:t>
      </w:r>
      <w:r w:rsidR="00BF3414">
        <w:t>.</w:t>
      </w:r>
      <w:r w:rsidR="00DB22AC">
        <w:t xml:space="preserve"> </w:t>
      </w:r>
    </w:p>
    <w:p w14:paraId="393F8B8D" w14:textId="24ABD3DE" w:rsidR="005E53F3" w:rsidRDefault="005E53F3" w:rsidP="005E53F3">
      <w:pPr>
        <w:pStyle w:val="Heading2"/>
      </w:pPr>
      <w:r w:rsidRPr="00EC5DCE">
        <w:t>Borgir</w:t>
      </w:r>
      <w:r w:rsidR="00DB22AC">
        <w:t xml:space="preserve"> Kína</w:t>
      </w:r>
      <w:r w:rsidRPr="00EC5DCE">
        <w:t xml:space="preserve"> eftir fólksfjölda</w:t>
      </w:r>
      <w:r w:rsidR="00FD0E1B">
        <w:rPr>
          <w:rStyle w:val="FootnoteReference"/>
        </w:rPr>
        <w:footnoteReference w:id="3"/>
      </w:r>
    </w:p>
    <w:p w14:paraId="55D97F88" w14:textId="5D26723E" w:rsidR="005E53F3" w:rsidRDefault="00DB22AC" w:rsidP="005E53F3">
      <w:pPr>
        <w:pStyle w:val="Texti1"/>
      </w:pPr>
      <w:r>
        <w:t xml:space="preserve"> Kína</w:t>
      </w:r>
      <w:r w:rsidR="005E53F3">
        <w:t xml:space="preserve"> er fjölmennasta land heims með um 1.4 milljarða íbúa</w:t>
      </w:r>
      <w:r w:rsidR="00BF3414">
        <w:t>.</w:t>
      </w:r>
      <w:r>
        <w:t xml:space="preserve"> </w:t>
      </w:r>
      <w:r w:rsidR="005E53F3">
        <w:t>Samkvæmt manntali</w:t>
      </w:r>
      <w:r>
        <w:t xml:space="preserve"> Kína</w:t>
      </w:r>
      <w:r w:rsidR="005E53F3">
        <w:t xml:space="preserve"> árið 2020 voru 105 </w:t>
      </w:r>
      <w:r w:rsidR="00562CEE">
        <w:t>kin</w:t>
      </w:r>
      <w:r w:rsidR="005E53F3">
        <w:t>verskar borgir með meira en 1 milljón manns</w:t>
      </w:r>
      <w:r w:rsidR="00BF3414">
        <w:t>.</w:t>
      </w:r>
      <w:r>
        <w:t xml:space="preserve"> </w:t>
      </w:r>
      <w:r w:rsidR="005E53F3">
        <w:t>Alls eru 380 borgir á meginlandi</w:t>
      </w:r>
      <w:r>
        <w:t xml:space="preserve"> Kína</w:t>
      </w:r>
      <w:r w:rsidR="005E53F3">
        <w:t xml:space="preserve"> sem hafa fleiri íbúa en 312,000</w:t>
      </w:r>
      <w:r w:rsidR="00BF3414">
        <w:t>.</w:t>
      </w:r>
      <w:r>
        <w:t xml:space="preserve"> </w:t>
      </w:r>
      <w:r w:rsidR="005E53F3">
        <w:t xml:space="preserve">Um 63,6% </w:t>
      </w:r>
      <w:r w:rsidR="00562CEE">
        <w:t>Kin</w:t>
      </w:r>
      <w:r w:rsidR="005E53F3">
        <w:t>verja býr í þéttbýli (2022)</w:t>
      </w:r>
      <w:r w:rsidR="00BF3414">
        <w:t>.</w:t>
      </w:r>
      <w:r>
        <w:t xml:space="preserve"> </w:t>
      </w:r>
      <w:r w:rsidR="005E53F3">
        <w:t>Mannfjöldatalning fer fram á 10 ára fresti, nú síðast 2020.</w:t>
      </w:r>
    </w:p>
    <w:p w14:paraId="7CBCD0B8" w14:textId="50BA41BB" w:rsidR="005E53F3" w:rsidRDefault="005E53F3" w:rsidP="005E53F3">
      <w:pPr>
        <w:pStyle w:val="Heading2"/>
      </w:pPr>
      <w:r w:rsidRPr="00DE7D36">
        <w:t>Fjölmennustu borgir meginlands</w:t>
      </w:r>
      <w:r w:rsidR="00DB22AC">
        <w:t xml:space="preserve"> Kína</w:t>
      </w:r>
      <w:r w:rsidRPr="00DE7D36">
        <w:t xml:space="preserve"> eftir íbúafjölda árið 2020</w:t>
      </w:r>
    </w:p>
    <w:p w14:paraId="11838557" w14:textId="48A65A86" w:rsidR="00FD0E1B" w:rsidRPr="00FD0E1B" w:rsidRDefault="00FD0E1B" w:rsidP="00FD0E1B">
      <w:pPr>
        <w:pStyle w:val="Texti1"/>
      </w:pPr>
      <w:r>
        <w:t>Borgarvæðing hefur aukist samhliða auknum íbúafjölda og efnahagsuppgangi.</w:t>
      </w:r>
    </w:p>
    <w:p w14:paraId="72A01A5A" w14:textId="7E5FC612" w:rsidR="005E53F3" w:rsidRPr="00FD0E1B" w:rsidRDefault="005E53F3" w:rsidP="00D27674">
      <w:pPr>
        <w:pBdr>
          <w:bottom w:val="single" w:sz="4" w:space="1" w:color="auto"/>
        </w:pBdr>
        <w:tabs>
          <w:tab w:val="left" w:pos="1701"/>
          <w:tab w:val="right" w:pos="6521"/>
          <w:tab w:val="right" w:pos="8505"/>
        </w:tabs>
        <w:spacing w:before="120"/>
        <w:ind w:right="991"/>
        <w:rPr>
          <w:b/>
          <w:bCs/>
          <w:sz w:val="18"/>
          <w:szCs w:val="18"/>
        </w:rPr>
      </w:pPr>
      <w:r w:rsidRPr="00FD0E1B">
        <w:rPr>
          <w:b/>
          <w:bCs/>
          <w:sz w:val="18"/>
          <w:szCs w:val="18"/>
        </w:rPr>
        <w:tab/>
        <w:t>Stjórnsýsla</w:t>
      </w:r>
      <w:r w:rsidRPr="00FD0E1B">
        <w:rPr>
          <w:b/>
          <w:bCs/>
          <w:sz w:val="18"/>
          <w:szCs w:val="18"/>
        </w:rPr>
        <w:tab/>
        <w:t xml:space="preserve">Íbúajöldi </w:t>
      </w:r>
      <w:r w:rsidR="009A7C74">
        <w:rPr>
          <w:b/>
          <w:bCs/>
          <w:sz w:val="18"/>
          <w:szCs w:val="18"/>
        </w:rPr>
        <w:tab/>
      </w:r>
      <w:r w:rsidR="009A7C74" w:rsidRPr="00FD0E1B">
        <w:rPr>
          <w:b/>
          <w:bCs/>
          <w:sz w:val="18"/>
          <w:szCs w:val="18"/>
        </w:rPr>
        <w:t>Íbúafjöldi undir</w:t>
      </w:r>
      <w:r w:rsidR="009A7C74">
        <w:rPr>
          <w:b/>
          <w:bCs/>
          <w:sz w:val="18"/>
          <w:szCs w:val="18"/>
        </w:rPr>
        <w:br/>
      </w:r>
      <w:r w:rsidR="009A7C74" w:rsidRPr="00FD0E1B">
        <w:rPr>
          <w:b/>
          <w:bCs/>
          <w:sz w:val="18"/>
          <w:szCs w:val="18"/>
        </w:rPr>
        <w:t>Borg</w:t>
      </w:r>
      <w:r w:rsidR="009A7C74">
        <w:rPr>
          <w:b/>
          <w:bCs/>
          <w:sz w:val="18"/>
          <w:szCs w:val="18"/>
        </w:rPr>
        <w:tab/>
      </w:r>
      <w:r w:rsidR="009A7C74" w:rsidRPr="00FD0E1B">
        <w:rPr>
          <w:b/>
          <w:bCs/>
          <w:sz w:val="18"/>
          <w:szCs w:val="18"/>
        </w:rPr>
        <w:t>undirhéraðs</w:t>
      </w:r>
      <w:r w:rsidR="009A7C74">
        <w:rPr>
          <w:b/>
          <w:bCs/>
          <w:sz w:val="18"/>
          <w:szCs w:val="18"/>
        </w:rPr>
        <w:tab/>
      </w:r>
      <w:r w:rsidRPr="00FD0E1B">
        <w:rPr>
          <w:b/>
          <w:bCs/>
          <w:sz w:val="18"/>
          <w:szCs w:val="18"/>
        </w:rPr>
        <w:t>borgarkjarna</w:t>
      </w:r>
      <w:r w:rsidRPr="00FD0E1B">
        <w:rPr>
          <w:b/>
          <w:bCs/>
          <w:sz w:val="18"/>
          <w:szCs w:val="18"/>
        </w:rPr>
        <w:tab/>
        <w:t>lögsögu borgar</w:t>
      </w:r>
    </w:p>
    <w:p w14:paraId="031FE41D" w14:textId="54415841" w:rsidR="005E53F3" w:rsidRPr="003606E2" w:rsidRDefault="005E53F3" w:rsidP="003606E2">
      <w:pPr>
        <w:rPr>
          <w:sz w:val="18"/>
          <w:szCs w:val="18"/>
        </w:rPr>
      </w:pPr>
      <w:r w:rsidRPr="003606E2">
        <w:rPr>
          <w:sz w:val="18"/>
          <w:szCs w:val="18"/>
        </w:rPr>
        <w:t>Sjanghæ</w:t>
      </w:r>
      <w:r w:rsidRPr="003606E2">
        <w:rPr>
          <w:sz w:val="18"/>
          <w:szCs w:val="18"/>
        </w:rPr>
        <w:tab/>
        <w:t>Borghérað</w:t>
      </w:r>
      <w:r w:rsidRPr="003606E2">
        <w:rPr>
          <w:sz w:val="18"/>
          <w:szCs w:val="18"/>
        </w:rPr>
        <w:tab/>
      </w:r>
      <w:r w:rsidR="00FD0E1B" w:rsidRPr="003606E2">
        <w:rPr>
          <w:sz w:val="18"/>
          <w:szCs w:val="18"/>
        </w:rPr>
        <w:tab/>
      </w:r>
      <w:r w:rsidRPr="003606E2">
        <w:rPr>
          <w:sz w:val="18"/>
          <w:szCs w:val="18"/>
        </w:rPr>
        <w:t>21.909.814</w:t>
      </w:r>
      <w:r w:rsidRPr="003606E2">
        <w:rPr>
          <w:sz w:val="18"/>
          <w:szCs w:val="18"/>
        </w:rPr>
        <w:tab/>
        <w:t>24.870.895</w:t>
      </w:r>
    </w:p>
    <w:p w14:paraId="797ED1EC" w14:textId="302DF62A" w:rsidR="005E53F3" w:rsidRPr="003606E2" w:rsidRDefault="005E53F3" w:rsidP="003606E2">
      <w:pPr>
        <w:rPr>
          <w:sz w:val="18"/>
          <w:szCs w:val="18"/>
        </w:rPr>
      </w:pPr>
      <w:r w:rsidRPr="003606E2">
        <w:rPr>
          <w:sz w:val="18"/>
          <w:szCs w:val="18"/>
        </w:rPr>
        <w:t>Peking</w:t>
      </w:r>
      <w:r w:rsidRPr="003606E2">
        <w:rPr>
          <w:sz w:val="18"/>
          <w:szCs w:val="18"/>
        </w:rPr>
        <w:tab/>
        <w:t>Borghérað</w:t>
      </w:r>
      <w:r w:rsidRPr="003606E2">
        <w:rPr>
          <w:sz w:val="18"/>
          <w:szCs w:val="18"/>
        </w:rPr>
        <w:tab/>
      </w:r>
      <w:r w:rsidR="00FD0E1B" w:rsidRPr="003606E2">
        <w:rPr>
          <w:sz w:val="18"/>
          <w:szCs w:val="18"/>
        </w:rPr>
        <w:tab/>
      </w:r>
      <w:r w:rsidRPr="003606E2">
        <w:rPr>
          <w:sz w:val="18"/>
          <w:szCs w:val="18"/>
        </w:rPr>
        <w:t>18.960.744</w:t>
      </w:r>
      <w:r w:rsidRPr="003606E2">
        <w:rPr>
          <w:sz w:val="18"/>
          <w:szCs w:val="18"/>
        </w:rPr>
        <w:tab/>
        <w:t>21.893.095</w:t>
      </w:r>
    </w:p>
    <w:p w14:paraId="11483D15" w14:textId="2072B69E" w:rsidR="005E53F3" w:rsidRPr="003606E2" w:rsidRDefault="005E53F3" w:rsidP="003606E2">
      <w:pPr>
        <w:rPr>
          <w:sz w:val="18"/>
          <w:szCs w:val="18"/>
        </w:rPr>
      </w:pPr>
      <w:r w:rsidRPr="003606E2">
        <w:rPr>
          <w:sz w:val="18"/>
          <w:szCs w:val="18"/>
        </w:rPr>
        <w:t>Guangzhou</w:t>
      </w:r>
      <w:r w:rsidRPr="003606E2">
        <w:rPr>
          <w:sz w:val="18"/>
          <w:szCs w:val="18"/>
        </w:rPr>
        <w:tab/>
        <w:t>Héraðsborg stýrt af fylkisstjórn</w:t>
      </w:r>
      <w:r w:rsidR="00FD0E1B" w:rsidRPr="003606E2">
        <w:rPr>
          <w:sz w:val="18"/>
          <w:szCs w:val="18"/>
        </w:rPr>
        <w:tab/>
      </w:r>
      <w:r w:rsidR="00FD0E1B" w:rsidRPr="003606E2">
        <w:rPr>
          <w:sz w:val="18"/>
          <w:szCs w:val="18"/>
        </w:rPr>
        <w:tab/>
      </w:r>
      <w:r w:rsidRPr="003606E2">
        <w:rPr>
          <w:sz w:val="18"/>
          <w:szCs w:val="18"/>
        </w:rPr>
        <w:t>16.096.724</w:t>
      </w:r>
      <w:r w:rsidRPr="003606E2">
        <w:rPr>
          <w:sz w:val="18"/>
          <w:szCs w:val="18"/>
        </w:rPr>
        <w:tab/>
        <w:t>18.676.605</w:t>
      </w:r>
    </w:p>
    <w:p w14:paraId="1B5BF9DD" w14:textId="578BBAF4" w:rsidR="005E53F3" w:rsidRPr="003606E2" w:rsidRDefault="005E53F3" w:rsidP="003606E2">
      <w:pPr>
        <w:rPr>
          <w:sz w:val="18"/>
          <w:szCs w:val="18"/>
        </w:rPr>
      </w:pPr>
      <w:r w:rsidRPr="003606E2">
        <w:rPr>
          <w:sz w:val="18"/>
          <w:szCs w:val="18"/>
        </w:rPr>
        <w:t>Shenzhen</w:t>
      </w:r>
      <w:r w:rsidRPr="003606E2">
        <w:rPr>
          <w:sz w:val="18"/>
          <w:szCs w:val="18"/>
        </w:rPr>
        <w:tab/>
        <w:t>Borg með sjálf-stætt skipulag</w:t>
      </w:r>
      <w:r w:rsidR="00FD0E1B" w:rsidRPr="003606E2">
        <w:rPr>
          <w:sz w:val="18"/>
          <w:szCs w:val="18"/>
        </w:rPr>
        <w:tab/>
      </w:r>
      <w:r w:rsidR="00FD0E1B" w:rsidRPr="003606E2">
        <w:rPr>
          <w:sz w:val="18"/>
          <w:szCs w:val="18"/>
        </w:rPr>
        <w:tab/>
      </w:r>
      <w:r w:rsidRPr="003606E2">
        <w:rPr>
          <w:sz w:val="18"/>
          <w:szCs w:val="18"/>
        </w:rPr>
        <w:t>17.494.398</w:t>
      </w:r>
      <w:r w:rsidRPr="003606E2">
        <w:rPr>
          <w:sz w:val="18"/>
          <w:szCs w:val="18"/>
        </w:rPr>
        <w:tab/>
        <w:t>17.494.398</w:t>
      </w:r>
    </w:p>
    <w:p w14:paraId="3C1F8E59" w14:textId="2ACAF075" w:rsidR="005A2450" w:rsidRPr="006E3124" w:rsidRDefault="005E53F3" w:rsidP="00B63E0D">
      <w:pPr>
        <w:rPr>
          <w:sz w:val="18"/>
          <w:szCs w:val="18"/>
        </w:rPr>
      </w:pPr>
      <w:r w:rsidRPr="003606E2">
        <w:rPr>
          <w:sz w:val="18"/>
          <w:szCs w:val="18"/>
        </w:rPr>
        <w:t>Chengdu</w:t>
      </w:r>
      <w:r w:rsidRPr="003606E2">
        <w:rPr>
          <w:sz w:val="18"/>
          <w:szCs w:val="18"/>
        </w:rPr>
        <w:tab/>
        <w:t>Héraðsborg stýrt af fylkisstjórn</w:t>
      </w:r>
      <w:r w:rsidR="00FD0E1B" w:rsidRPr="003606E2">
        <w:rPr>
          <w:sz w:val="18"/>
          <w:szCs w:val="18"/>
        </w:rPr>
        <w:tab/>
      </w:r>
      <w:r w:rsidR="00FD0E1B" w:rsidRPr="003606E2">
        <w:rPr>
          <w:sz w:val="18"/>
          <w:szCs w:val="18"/>
        </w:rPr>
        <w:tab/>
      </w:r>
      <w:r w:rsidRPr="003606E2">
        <w:rPr>
          <w:sz w:val="18"/>
          <w:szCs w:val="18"/>
        </w:rPr>
        <w:t>13.568.357</w:t>
      </w:r>
      <w:r w:rsidRPr="003606E2">
        <w:rPr>
          <w:sz w:val="18"/>
          <w:szCs w:val="18"/>
        </w:rPr>
        <w:tab/>
        <w:t>20.937.757</w:t>
      </w:r>
    </w:p>
    <w:p w14:paraId="6DABD85D" w14:textId="6D014D7B" w:rsidR="00453DA4" w:rsidRDefault="00453DA4" w:rsidP="003606E2">
      <w:pPr>
        <w:pStyle w:val="Heading1"/>
      </w:pPr>
      <w:r w:rsidRPr="00EC5DCE">
        <w:t>Héruð</w:t>
      </w:r>
      <w:r>
        <w:t xml:space="preserve"> í</w:t>
      </w:r>
      <w:r w:rsidR="00DB22AC">
        <w:t xml:space="preserve"> Kína</w:t>
      </w:r>
      <w:r w:rsidR="00C03AEC">
        <w:rPr>
          <w:rStyle w:val="FootnoteReference"/>
        </w:rPr>
        <w:footnoteReference w:id="4"/>
      </w:r>
    </w:p>
    <w:p w14:paraId="0AA2FD41" w14:textId="1A42F576" w:rsidR="003606E2" w:rsidRPr="004D5669" w:rsidRDefault="003606E2" w:rsidP="003606E2">
      <w:pPr>
        <w:rPr>
          <w:sz w:val="24"/>
          <w:szCs w:val="28"/>
        </w:rPr>
      </w:pPr>
      <w:r w:rsidRPr="004D5669">
        <w:rPr>
          <w:sz w:val="24"/>
          <w:szCs w:val="28"/>
        </w:rPr>
        <w:t>Héruð í</w:t>
      </w:r>
      <w:r w:rsidR="00DB22AC" w:rsidRPr="004D5669">
        <w:rPr>
          <w:sz w:val="24"/>
          <w:szCs w:val="28"/>
        </w:rPr>
        <w:t xml:space="preserve"> Kína</w:t>
      </w:r>
    </w:p>
    <w:p w14:paraId="29DA5692" w14:textId="77777777" w:rsidR="003606E2" w:rsidRPr="00EC5DCE" w:rsidRDefault="003606E2" w:rsidP="003606E2">
      <w:r w:rsidRPr="00EC5DCE">
        <w:t>Anhui</w:t>
      </w:r>
      <w:r w:rsidRPr="00EC5DCE">
        <w:tab/>
        <w:t>Peking</w:t>
      </w:r>
      <w:r w:rsidRPr="00EC5DCE">
        <w:tab/>
        <w:t>Chongqing</w:t>
      </w:r>
      <w:r w:rsidRPr="00EC5DCE">
        <w:tab/>
        <w:t>Fujian</w:t>
      </w:r>
      <w:r w:rsidRPr="00EC5DCE">
        <w:tab/>
        <w:t>Gansu</w:t>
      </w:r>
    </w:p>
    <w:p w14:paraId="3837DC1B" w14:textId="77777777" w:rsidR="003606E2" w:rsidRPr="00EC5DCE" w:rsidRDefault="003606E2" w:rsidP="003606E2">
      <w:r w:rsidRPr="00EC5DCE">
        <w:t>Guangdong</w:t>
      </w:r>
      <w:r w:rsidRPr="00EC5DCE">
        <w:tab/>
        <w:t>Guangxi</w:t>
      </w:r>
      <w:r w:rsidRPr="00EC5DCE">
        <w:tab/>
        <w:t>Guizhou</w:t>
      </w:r>
      <w:r w:rsidRPr="00EC5DCE">
        <w:tab/>
        <w:t>Hainan</w:t>
      </w:r>
      <w:r w:rsidRPr="00EC5DCE">
        <w:tab/>
        <w:t>Hebei</w:t>
      </w:r>
    </w:p>
    <w:p w14:paraId="5203D312" w14:textId="77777777" w:rsidR="003606E2" w:rsidRPr="00EC5DCE" w:rsidRDefault="003606E2" w:rsidP="003606E2">
      <w:r w:rsidRPr="00EC5DCE">
        <w:t>Heilongjiang</w:t>
      </w:r>
      <w:r w:rsidRPr="00EC5DCE">
        <w:tab/>
        <w:t>Henan</w:t>
      </w:r>
      <w:r w:rsidRPr="00EC5DCE">
        <w:tab/>
        <w:t>Hong Kong</w:t>
      </w:r>
      <w:r w:rsidRPr="00EC5DCE">
        <w:tab/>
        <w:t>Hubei</w:t>
      </w:r>
      <w:r w:rsidRPr="00EC5DCE">
        <w:tab/>
        <w:t>Hunan</w:t>
      </w:r>
    </w:p>
    <w:p w14:paraId="77C53C84" w14:textId="77777777" w:rsidR="003606E2" w:rsidRPr="00EC5DCE" w:rsidRDefault="003606E2" w:rsidP="003606E2">
      <w:r w:rsidRPr="00EC5DCE">
        <w:t>Innri Mongólía</w:t>
      </w:r>
      <w:r w:rsidRPr="00EC5DCE">
        <w:tab/>
        <w:t>Jiangsu</w:t>
      </w:r>
      <w:r w:rsidRPr="00EC5DCE">
        <w:tab/>
        <w:t>Jiangxi</w:t>
      </w:r>
      <w:r w:rsidRPr="00EC5DCE">
        <w:tab/>
        <w:t>Jilin</w:t>
      </w:r>
      <w:r w:rsidRPr="00EC5DCE">
        <w:tab/>
        <w:t>Liaoning</w:t>
      </w:r>
    </w:p>
    <w:p w14:paraId="64AF9221" w14:textId="77777777" w:rsidR="003606E2" w:rsidRPr="00EC5DCE" w:rsidRDefault="003606E2" w:rsidP="003606E2">
      <w:r w:rsidRPr="00EC5DCE">
        <w:t>Makaó</w:t>
      </w:r>
      <w:r w:rsidRPr="00EC5DCE">
        <w:tab/>
        <w:t>Ningxia</w:t>
      </w:r>
      <w:r w:rsidRPr="00EC5DCE">
        <w:tab/>
        <w:t>Qinghai</w:t>
      </w:r>
      <w:r w:rsidRPr="00EC5DCE">
        <w:tab/>
        <w:t>Shaanxi</w:t>
      </w:r>
      <w:r w:rsidRPr="00EC5DCE">
        <w:tab/>
        <w:t>Shandong</w:t>
      </w:r>
    </w:p>
    <w:p w14:paraId="3E85F7B2" w14:textId="77777777" w:rsidR="003606E2" w:rsidRPr="00EC5DCE" w:rsidRDefault="003606E2" w:rsidP="003606E2">
      <w:r w:rsidRPr="00EC5DCE">
        <w:t>Sjanghæ</w:t>
      </w:r>
      <w:r w:rsidRPr="00EC5DCE">
        <w:tab/>
        <w:t>Shansi</w:t>
      </w:r>
      <w:r w:rsidRPr="00EC5DCE">
        <w:tab/>
        <w:t>Shinjang</w:t>
      </w:r>
      <w:r w:rsidRPr="00EC5DCE">
        <w:tab/>
        <w:t>Sesúan</w:t>
      </w:r>
      <w:r w:rsidRPr="00EC5DCE">
        <w:tab/>
        <w:t>Tianjin</w:t>
      </w:r>
    </w:p>
    <w:p w14:paraId="347C3D3C" w14:textId="77777777" w:rsidR="003606E2" w:rsidRPr="00EC5DCE" w:rsidRDefault="003606E2" w:rsidP="003606E2">
      <w:r w:rsidRPr="00EC5DCE">
        <w:t>Tíbet</w:t>
      </w:r>
      <w:r w:rsidRPr="00EC5DCE">
        <w:tab/>
        <w:t>Yunnan</w:t>
      </w:r>
      <w:r w:rsidRPr="00EC5DCE">
        <w:tab/>
        <w:t>Zhejiang</w:t>
      </w:r>
      <w:r w:rsidRPr="00EC5DCE">
        <w:tab/>
      </w:r>
      <w:r w:rsidRPr="00EC5DCE">
        <w:tab/>
      </w:r>
    </w:p>
    <w:p w14:paraId="2D4EE381" w14:textId="77777777" w:rsidR="005E53F3" w:rsidRPr="00833D54" w:rsidRDefault="005E53F3" w:rsidP="005E53F3">
      <w:pPr>
        <w:pStyle w:val="Heading2"/>
      </w:pPr>
      <w:r w:rsidRPr="00833D54">
        <w:lastRenderedPageBreak/>
        <w:t>Skilgreiningar og stjórnsýsluflokkun</w:t>
      </w:r>
    </w:p>
    <w:p w14:paraId="467A9FC8" w14:textId="0A1E1754" w:rsidR="005E53F3" w:rsidRDefault="00562CEE" w:rsidP="005E53F3">
      <w:pPr>
        <w:pStyle w:val="Texti1"/>
      </w:pPr>
      <w:r>
        <w:t>Kin</w:t>
      </w:r>
      <w:r w:rsidR="005E53F3">
        <w:t>versk stjórnsýsla telur þrjú stig borga</w:t>
      </w:r>
      <w:r w:rsidR="00BF3414">
        <w:t>.</w:t>
      </w:r>
      <w:r w:rsidR="00DB22AC">
        <w:t xml:space="preserve"> </w:t>
      </w:r>
      <w:r w:rsidR="005E53F3">
        <w:t>Í fyrsta lagi eru það borgir sem lúta sjálfstæðri stjórn sem sveitarfélag; í öðru lagi eru það borgir sem er stjórnað af fylkisstjórnum; og í þriðja lagi eru það borgir sem teljast hluti af sýslum</w:t>
      </w:r>
      <w:r w:rsidR="00BF3414">
        <w:t>.</w:t>
      </w:r>
      <w:r w:rsidR="00DB22AC">
        <w:t xml:space="preserve"> </w:t>
      </w:r>
      <w:r w:rsidR="005E53F3">
        <w:t>Þess utan eru borgirnar Hong Kong og Makaó sem teljast „sérstök sérstjórnarhéruð“.</w:t>
      </w:r>
    </w:p>
    <w:p w14:paraId="6950A647" w14:textId="77777777" w:rsidR="005E53F3" w:rsidRDefault="005E53F3" w:rsidP="005E53F3">
      <w:pPr>
        <w:pStyle w:val="Texti2"/>
      </w:pPr>
      <w:r>
        <w:t>Borgir sem eru sveitarfélög og borgir fylkisstjórna eru ekki „borgir“ í ströngum skilningi hugtaksins, heldur fremur stjórnsýslueiningar sem samanstanda af bæði þéttbýlum kjarna (það er borg í ströngum skilningi) umlukið dreifbýli eða minna þéttbýlli svæðum.</w:t>
      </w:r>
    </w:p>
    <w:p w14:paraId="5607DDD7" w14:textId="3A6D0C40" w:rsidR="005E53F3" w:rsidRDefault="005E53F3" w:rsidP="00C064F3">
      <w:pPr>
        <w:spacing w:before="120"/>
      </w:pPr>
      <w:r>
        <w:t>Borgum sem stjórnað er af fylkisstjórnum er oftast skipt upp í margar sýslur</w:t>
      </w:r>
      <w:r w:rsidR="00BF3414">
        <w:t>.</w:t>
      </w:r>
      <w:r w:rsidR="00DB22AC">
        <w:t xml:space="preserve"> </w:t>
      </w:r>
      <w:r>
        <w:t>Til að greina slíkar borgir frá raunverulegum þéttbýlisvæðum (borg í ströngum skilningi) er notast við stjórnsýsluhugtakið „borgarhverfi“</w:t>
      </w:r>
      <w:r w:rsidR="00BF3414">
        <w:t>.</w:t>
      </w:r>
      <w:r w:rsidR="00DB22AC">
        <w:t xml:space="preserve"> </w:t>
      </w:r>
      <w:r>
        <w:t>Slík úthverfi geta verið mjög stór eða meira en 3.000 ferkílómetrar.</w:t>
      </w:r>
    </w:p>
    <w:p w14:paraId="5355163E" w14:textId="77777777" w:rsidR="00453DA4" w:rsidRPr="0097288E" w:rsidRDefault="00453DA4" w:rsidP="005E53F3">
      <w:pPr>
        <w:pStyle w:val="Heading2"/>
      </w:pPr>
      <w:r w:rsidRPr="0097288E">
        <w:t>Hong Kong</w:t>
      </w:r>
      <w:r w:rsidRPr="0097288E">
        <w:rPr>
          <w:rStyle w:val="FootnoteReference"/>
          <w:b/>
          <w:bCs/>
        </w:rPr>
        <w:footnoteReference w:id="5"/>
      </w:r>
    </w:p>
    <w:p w14:paraId="02433D57" w14:textId="102F381E" w:rsidR="00453DA4" w:rsidRDefault="00453DA4" w:rsidP="00453DA4">
      <w:pPr>
        <w:pStyle w:val="Texti1"/>
      </w:pPr>
      <w:r>
        <w:t>Hong Kong, opinberlega Sérstjórnarhérað Alþýðulýðveldisins</w:t>
      </w:r>
      <w:r w:rsidR="00DB22AC">
        <w:t xml:space="preserve"> Kína</w:t>
      </w:r>
      <w:r>
        <w:t xml:space="preserve"> Hong Kong, er sérstakt sjálfstjórnarhérað í </w:t>
      </w:r>
      <w:r w:rsidR="00562CEE">
        <w:t>Kin</w:t>
      </w:r>
      <w:r>
        <w:t>verska alþýðulýðveldinu, á austurbakka árósa Perlufljóts í suðurhluta</w:t>
      </w:r>
      <w:r w:rsidR="00DB22AC">
        <w:t xml:space="preserve"> Kína</w:t>
      </w:r>
      <w:r w:rsidR="00BF3414">
        <w:t>.</w:t>
      </w:r>
      <w:r w:rsidR="00DB22AC">
        <w:t xml:space="preserve"> </w:t>
      </w:r>
    </w:p>
    <w:p w14:paraId="6894ECE6" w14:textId="2FFB25B4" w:rsidR="00453DA4" w:rsidRDefault="00453DA4" w:rsidP="00453DA4">
      <w:pPr>
        <w:pStyle w:val="Texti2"/>
      </w:pPr>
      <w:r>
        <w:t>Hong Kong varð bresk nýlenda við að Tjingveldið gaf Hong Kong-eyju eftir þegar Fyrra ópíumstríðinu lauk árið 1842</w:t>
      </w:r>
      <w:r w:rsidR="00BF3414">
        <w:t>.</w:t>
      </w:r>
      <w:r w:rsidR="00DB22AC">
        <w:t xml:space="preserve"> </w:t>
      </w:r>
      <w:r>
        <w:t>Eftir Annað ópíumstríðið 1860 var nýlendan stækkuð þannig að hún náði líka yfir Kowloon-skaga</w:t>
      </w:r>
      <w:r w:rsidR="00BF3414">
        <w:t>.</w:t>
      </w:r>
      <w:r w:rsidR="00DB22AC">
        <w:t xml:space="preserve"> </w:t>
      </w:r>
      <w:r>
        <w:t>Hún var síðan stækkuð enn frekar þegar Bretar fengu 99 ára samning um Nýju umdæmin árið 1898</w:t>
      </w:r>
      <w:r w:rsidR="00BF3414">
        <w:t>.</w:t>
      </w:r>
      <w:r w:rsidR="00DB22AC">
        <w:t xml:space="preserve"> </w:t>
      </w:r>
      <w:r>
        <w:t>Alþýðulýðveldið</w:t>
      </w:r>
      <w:r w:rsidR="00DB22AC">
        <w:t xml:space="preserve"> Kína</w:t>
      </w:r>
      <w:r>
        <w:t xml:space="preserve"> tók við stjórn svæðisins þegar samningurinn rann út árið 1997</w:t>
      </w:r>
      <w:r w:rsidR="00BF3414">
        <w:t>.</w:t>
      </w:r>
      <w:r w:rsidR="00DB22AC">
        <w:t xml:space="preserve"> </w:t>
      </w:r>
      <w:r>
        <w:t>Borgin hefur umtalsvert sjálfstæði sem sérstjórnarhérað samkvæmt hugmyndinni um eitt land, tvö kerfi</w:t>
      </w:r>
      <w:r w:rsidR="00BF3414">
        <w:t>.</w:t>
      </w:r>
      <w:r w:rsidR="00DB22AC">
        <w:t xml:space="preserve"> </w:t>
      </w:r>
      <w:r>
        <w:t>Í Hong Kong ríkir markaðshagkerfi sem er með þeim frjálslyndustu í heimi</w:t>
      </w:r>
      <w:r w:rsidR="00BF3414">
        <w:t>.</w:t>
      </w:r>
      <w:r w:rsidR="00DB22AC">
        <w:t xml:space="preserve"> </w:t>
      </w:r>
      <w:r>
        <w:t>Hong Kong á stjórnarskrárbundinn rétt til mikils sjálfræðis, þar á meðal eigin lagakerfis, eigin gjaldmiðils, eigin tollalaga og rétt til að gera alþjóðasamninga, svo sem um flugumferð og innflytjendur</w:t>
      </w:r>
      <w:r w:rsidR="00BF3414">
        <w:t>.</w:t>
      </w:r>
      <w:r w:rsidR="00DB22AC">
        <w:t xml:space="preserve"> </w:t>
      </w:r>
      <w:r>
        <w:t>Einungis varnarmál og alþjóðasamskipti eru í höndum stjórnarinnar í Peking.</w:t>
      </w:r>
    </w:p>
    <w:p w14:paraId="34511989" w14:textId="3CE7D96D" w:rsidR="00453DA4" w:rsidRDefault="00453DA4" w:rsidP="00453DA4">
      <w:pPr>
        <w:pStyle w:val="Texti2"/>
      </w:pPr>
      <w:r>
        <w:t>Upphaflega var svæðið þar sem Hong Kong stendur strjálbýlt sveitahérað með nokkrum fiskiþorpum</w:t>
      </w:r>
      <w:r w:rsidR="00BF3414">
        <w:t>.</w:t>
      </w:r>
      <w:r w:rsidR="00DB22AC">
        <w:t xml:space="preserve"> </w:t>
      </w:r>
      <w:r>
        <w:t>Nú eru þar ein af helstu fjármálamiðstöðvum heims og ein af stærstu verslunarhöfnum heims</w:t>
      </w:r>
      <w:r w:rsidR="00BF3414">
        <w:t>.</w:t>
      </w:r>
      <w:r w:rsidR="00DB22AC">
        <w:t xml:space="preserve"> </w:t>
      </w:r>
      <w:r>
        <w:t>Borgin er 10</w:t>
      </w:r>
      <w:r w:rsidR="00BF3414">
        <w:t>.</w:t>
      </w:r>
      <w:r w:rsidR="00DB22AC">
        <w:t xml:space="preserve"> </w:t>
      </w:r>
      <w:r>
        <w:t>mesta útflutningsland heims og 9</w:t>
      </w:r>
      <w:r w:rsidR="00BF3414">
        <w:t>.</w:t>
      </w:r>
      <w:r w:rsidR="00DB22AC">
        <w:t xml:space="preserve"> </w:t>
      </w:r>
      <w:r>
        <w:t>mesta innflutningslandið</w:t>
      </w:r>
      <w:r w:rsidR="00BF3414">
        <w:t>.</w:t>
      </w:r>
      <w:r w:rsidR="00DB22AC">
        <w:t xml:space="preserve"> </w:t>
      </w:r>
      <w:r>
        <w:t xml:space="preserve">Gjaldmiðill Hong Kong, Hong Kong-dalur, </w:t>
      </w:r>
      <w:r w:rsidR="00FD0E1B">
        <w:t>var</w:t>
      </w:r>
      <w:r>
        <w:t xml:space="preserve"> 9</w:t>
      </w:r>
      <w:r w:rsidR="00BF3414">
        <w:t>.</w:t>
      </w:r>
      <w:r w:rsidR="00DB22AC">
        <w:t xml:space="preserve"> </w:t>
      </w:r>
      <w:r>
        <w:t xml:space="preserve">mestnotaði gjaldmiðill heims í gjaldeyrisviðskiptum </w:t>
      </w:r>
      <w:r w:rsidR="00FD0E1B">
        <w:t xml:space="preserve">árið </w:t>
      </w:r>
      <w:r>
        <w:t>2019.</w:t>
      </w:r>
    </w:p>
    <w:p w14:paraId="264D6F6B" w14:textId="7B62DCDD" w:rsidR="00453DA4" w:rsidRDefault="00453DA4" w:rsidP="00C064F3">
      <w:pPr>
        <w:spacing w:before="120"/>
      </w:pPr>
      <w:r>
        <w:t xml:space="preserve">Hong Kong er háþróað land og er í </w:t>
      </w:r>
      <w:r w:rsidR="00B00B65">
        <w:t>7</w:t>
      </w:r>
      <w:r w:rsidR="00BF3414">
        <w:t>.</w:t>
      </w:r>
      <w:r w:rsidR="00DB22AC">
        <w:t xml:space="preserve"> </w:t>
      </w:r>
      <w:r>
        <w:t>sæti á lista yfir lönd eftir vísitölu um þróun lífsgæða</w:t>
      </w:r>
      <w:r w:rsidR="00BF3414">
        <w:t>.</w:t>
      </w:r>
      <w:r w:rsidR="00DB22AC">
        <w:t xml:space="preserve"> </w:t>
      </w:r>
      <w:r>
        <w:t>Í borginni eru flestir skýjakljúfar af borgum heims og íbúar þar njóta einna mesta langlífis</w:t>
      </w:r>
      <w:r w:rsidR="00BF3414">
        <w:t>.</w:t>
      </w:r>
      <w:r w:rsidR="00DB22AC">
        <w:t xml:space="preserve"> </w:t>
      </w:r>
      <w:r>
        <w:t>Yfir 90% íbúa notast við almenningssamgöngur</w:t>
      </w:r>
      <w:r w:rsidR="00BF3414">
        <w:t>.</w:t>
      </w:r>
      <w:r w:rsidR="00DB22AC">
        <w:t xml:space="preserve"> </w:t>
      </w:r>
      <w:r>
        <w:t>Loftmengun af völdum svifryks er samt mikið vandamál.</w:t>
      </w:r>
    </w:p>
    <w:p w14:paraId="7FAA0A68" w14:textId="77777777" w:rsidR="00C064F3" w:rsidRDefault="00C064F3" w:rsidP="00C064F3">
      <w:pPr>
        <w:spacing w:before="120"/>
      </w:pPr>
    </w:p>
    <w:p w14:paraId="57D31465" w14:textId="31E9A633" w:rsidR="00347FC8" w:rsidRDefault="00DB22AC" w:rsidP="00347FC8">
      <w:pPr>
        <w:pStyle w:val="Heading1"/>
      </w:pPr>
      <w:r>
        <w:t>Kína</w:t>
      </w:r>
      <w:r w:rsidR="00347FC8" w:rsidRPr="004763AD">
        <w:t>múrinn</w:t>
      </w:r>
      <w:r w:rsidR="00453DA4" w:rsidRPr="004763AD">
        <w:rPr>
          <w:rStyle w:val="FootnoteReference"/>
        </w:rPr>
        <w:footnoteReference w:id="6"/>
      </w:r>
    </w:p>
    <w:tbl>
      <w:tblPr>
        <w:tblStyle w:val="TableGrid"/>
        <w:tblpPr w:leftFromText="141" w:rightFromText="141" w:vertAnchor="text" w:horzAnchor="margin" w:tblpXSpec="right" w:tblpY="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</w:tblGrid>
      <w:tr w:rsidR="00347FC8" w:rsidRPr="00AE3051" w14:paraId="240C0522" w14:textId="77777777" w:rsidTr="00F56447">
        <w:trPr>
          <w:trHeight w:val="624"/>
        </w:trPr>
        <w:tc>
          <w:tcPr>
            <w:tcW w:w="2438" w:type="dxa"/>
            <w:vAlign w:val="center"/>
          </w:tcPr>
          <w:p w14:paraId="77EB96FB" w14:textId="77777777" w:rsidR="00347FC8" w:rsidRPr="00AE3051" w:rsidRDefault="00453DA4" w:rsidP="003606E2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12055F9" wp14:editId="71835153">
                  <wp:extent cx="1237834" cy="828000"/>
                  <wp:effectExtent l="0" t="0" r="635" b="0"/>
                  <wp:docPr id="8" name="Picture 8" descr="Beijing Great Wall National Park (Official GANP Park Pa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ijing Great Wall National Park (Official GANP Park Pa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34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1BE8F" w14:textId="11D2B361" w:rsidR="00453DA4" w:rsidRDefault="00DB22AC" w:rsidP="00453DA4">
      <w:pPr>
        <w:pStyle w:val="Texti1"/>
      </w:pPr>
      <w:r>
        <w:t>Kína</w:t>
      </w:r>
      <w:r w:rsidR="00347FC8" w:rsidRPr="004763AD">
        <w:t>múrinn er</w:t>
      </w:r>
      <w:r w:rsidR="00CE57A2">
        <w:t xml:space="preserve"> u.þ.b</w:t>
      </w:r>
      <w:r w:rsidR="00BF3414">
        <w:t>.</w:t>
      </w:r>
      <w:r>
        <w:t xml:space="preserve"> </w:t>
      </w:r>
      <w:r w:rsidR="00347FC8" w:rsidRPr="004763AD">
        <w:t>21.196</w:t>
      </w:r>
      <w:r w:rsidR="00A33B3B">
        <w:rPr>
          <w:rStyle w:val="FootnoteReference"/>
        </w:rPr>
        <w:footnoteReference w:id="7"/>
      </w:r>
      <w:r w:rsidR="00347FC8" w:rsidRPr="004763AD">
        <w:t xml:space="preserve"> kílómetra langur virkisveggur í</w:t>
      </w:r>
      <w:r>
        <w:t xml:space="preserve"> Kína</w:t>
      </w:r>
      <w:r w:rsidR="00BF3414">
        <w:t>.</w:t>
      </w:r>
      <w:r>
        <w:t xml:space="preserve"> </w:t>
      </w:r>
      <w:r w:rsidR="00CE57A2" w:rsidRPr="00CE57A2">
        <w:t>Núverandi</w:t>
      </w:r>
      <w:r>
        <w:t xml:space="preserve"> Kína</w:t>
      </w:r>
      <w:r w:rsidR="00CE57A2" w:rsidRPr="00CE57A2">
        <w:t>múr var að mestu byggður á tímum Ming-keisaraveldisins, en Ming-ættin ríkti í</w:t>
      </w:r>
      <w:r>
        <w:t xml:space="preserve"> Kína</w:t>
      </w:r>
      <w:r w:rsidR="00CE57A2" w:rsidRPr="00CE57A2">
        <w:t xml:space="preserve"> á tímabilinu 1368–1644</w:t>
      </w:r>
      <w:r w:rsidR="00BF3414">
        <w:t>.</w:t>
      </w:r>
      <w:r>
        <w:t xml:space="preserve"> </w:t>
      </w:r>
      <w:r w:rsidR="00347FC8" w:rsidRPr="004763AD">
        <w:t>Hann var reistur til þess að vernda</w:t>
      </w:r>
      <w:r>
        <w:t xml:space="preserve"> Kína</w:t>
      </w:r>
      <w:r w:rsidR="00347FC8" w:rsidRPr="004763AD">
        <w:t xml:space="preserve"> gegn innrásum mongólskra og tyrkneskra ættflokka úr norðri og norðvestri</w:t>
      </w:r>
      <w:r w:rsidR="00BF3414">
        <w:t>.</w:t>
      </w:r>
      <w:r>
        <w:t xml:space="preserve"> </w:t>
      </w:r>
      <w:r w:rsidR="00347FC8" w:rsidRPr="004763AD">
        <w:t>Þegar mest var stóðu rúmlega ein milljón hermanna vörð á múrnum</w:t>
      </w:r>
      <w:r w:rsidR="00BF3414">
        <w:t>.</w:t>
      </w:r>
      <w:r w:rsidR="00114E7C">
        <w:t xml:space="preserve"> </w:t>
      </w:r>
      <w:r>
        <w:t>Kína</w:t>
      </w:r>
      <w:r w:rsidR="00347FC8" w:rsidRPr="004763AD">
        <w:t>múrinn, sem er á heimsminjaskrá UNESCO, er vinsæll ferðamannastaður í</w:t>
      </w:r>
      <w:r>
        <w:t xml:space="preserve"> Kína</w:t>
      </w:r>
      <w:r w:rsidR="00347FC8" w:rsidRPr="004763AD">
        <w:t xml:space="preserve"> og eitt þekktasta mannvirki landsins</w:t>
      </w:r>
      <w:r w:rsidR="00BF3414">
        <w:t>.</w:t>
      </w:r>
      <w:r w:rsidR="00114E7C">
        <w:t xml:space="preserve"> </w:t>
      </w:r>
      <w:r>
        <w:t>Kína</w:t>
      </w:r>
      <w:r w:rsidR="00453DA4">
        <w:t>múrinn er allt í allt 7300 km langur, ef tvöföldun er ekki tekin með þá er hann um 6700 km langur</w:t>
      </w:r>
      <w:r w:rsidR="00BF3414">
        <w:t>.</w:t>
      </w:r>
      <w:r>
        <w:t xml:space="preserve"> </w:t>
      </w:r>
      <w:r w:rsidR="00453DA4">
        <w:t>Múrinn er að meðaltali sjö til átta metra hár og fer mest í 10 metra</w:t>
      </w:r>
      <w:r w:rsidR="00BF3414">
        <w:t>.</w:t>
      </w:r>
      <w:r>
        <w:t xml:space="preserve"> </w:t>
      </w:r>
      <w:r w:rsidR="00453DA4">
        <w:t>Hann er sex metra breiður og hægt er að ganga ofan á múrnum og eru eins metra háir kantar ofan á múrnum svo hestar og menn falli ekki af honum</w:t>
      </w:r>
      <w:r w:rsidR="00BF3414">
        <w:t>.</w:t>
      </w:r>
      <w:r>
        <w:t xml:space="preserve"> </w:t>
      </w:r>
      <w:r w:rsidR="00453DA4">
        <w:t>Tröppur liggja upp á múrinn og á 200–300 metra fresti kemur svo upphækkaður stallur sem gaf góða sýn yfir bardagann</w:t>
      </w:r>
      <w:r w:rsidR="00BF3414">
        <w:t>.</w:t>
      </w:r>
      <w:r>
        <w:t xml:space="preserve"> </w:t>
      </w:r>
      <w:r w:rsidR="00453DA4">
        <w:t>Þar uppi kemur svo reglulega ljósviti eða skjól fyrir hermennina í stormum</w:t>
      </w:r>
      <w:r w:rsidR="00BF3414">
        <w:t>.</w:t>
      </w:r>
      <w:r>
        <w:t xml:space="preserve"> </w:t>
      </w:r>
      <w:r w:rsidR="00453DA4">
        <w:t>Stundum var stallurinn á tveimur til þremur hæðum og voru vopn og skotfæri geymd þar inni.</w:t>
      </w:r>
    </w:p>
    <w:p w14:paraId="0799A568" w14:textId="2E97B905" w:rsidR="00347FC8" w:rsidRDefault="00347FC8" w:rsidP="00347FC8">
      <w:pPr>
        <w:pStyle w:val="Texti2"/>
      </w:pPr>
      <w:r w:rsidRPr="004763AD">
        <w:t>Í upphafi 20</w:t>
      </w:r>
      <w:r w:rsidR="00BF3414">
        <w:t>.</w:t>
      </w:r>
      <w:r w:rsidR="00DB22AC">
        <w:t xml:space="preserve"> </w:t>
      </w:r>
      <w:r w:rsidRPr="004763AD">
        <w:t>aldarinnar var hluti múrsins eyðilagður í kringum höfuðborgina</w:t>
      </w:r>
      <w:r w:rsidR="00BF3414">
        <w:t>.</w:t>
      </w:r>
      <w:r w:rsidR="00DB22AC">
        <w:t xml:space="preserve"> </w:t>
      </w:r>
      <w:r w:rsidRPr="004763AD">
        <w:t>Einnig hafa verið gerð göt í gegnum vegginn fyrir vegi</w:t>
      </w:r>
      <w:r w:rsidR="00BF3414">
        <w:t>.</w:t>
      </w:r>
      <w:r w:rsidR="00DB22AC">
        <w:t xml:space="preserve"> </w:t>
      </w:r>
      <w:r w:rsidRPr="004763AD">
        <w:t>Árið 1970 gekk þetta meira að segja svo langt að hluti af múrnum var rifinn niður og notaður í byggingarefni</w:t>
      </w:r>
      <w:r w:rsidR="00BF3414">
        <w:t>.</w:t>
      </w:r>
      <w:r w:rsidR="00DB22AC">
        <w:t xml:space="preserve"> </w:t>
      </w:r>
      <w:r w:rsidRPr="004763AD">
        <w:lastRenderedPageBreak/>
        <w:t>Í dag er litið á þetta öðrum augum og hlutinn sem var eyðilagður árið 1970 hefur verið endurbyggður og vissir hlutar af múrnum verið gerðir upp.</w:t>
      </w:r>
    </w:p>
    <w:p w14:paraId="105AF22D" w14:textId="547EC1CB" w:rsidR="00453DA4" w:rsidRDefault="00453DA4" w:rsidP="00453DA4">
      <w:pPr>
        <w:pStyle w:val="Heading2"/>
      </w:pPr>
      <w:r w:rsidRPr="00EC5DCE">
        <w:t>Trúarbrögð</w:t>
      </w:r>
      <w:r w:rsidR="00AC28CC">
        <w:rPr>
          <w:rStyle w:val="FootnoteReference"/>
        </w:rPr>
        <w:footnoteReference w:id="8"/>
      </w:r>
    </w:p>
    <w:p w14:paraId="5DCF826D" w14:textId="0578B8CB" w:rsidR="00453DA4" w:rsidRDefault="00453DA4" w:rsidP="00AC28CC">
      <w:pPr>
        <w:pStyle w:val="Texti1"/>
      </w:pPr>
      <w:r>
        <w:rPr>
          <w:rFonts w:hint="eastAsia"/>
        </w:rPr>
        <w:t>Í</w:t>
      </w:r>
      <w:r w:rsidR="00DB22AC">
        <w:t xml:space="preserve"> Kína</w:t>
      </w:r>
      <w:r>
        <w:t xml:space="preserve"> má segja að þar sé að finna ekki eina þjóð heldur margar</w:t>
      </w:r>
      <w:r w:rsidR="00BF3414">
        <w:t>.</w:t>
      </w:r>
      <w:r w:rsidR="00DB22AC">
        <w:t xml:space="preserve"> </w:t>
      </w:r>
      <w:r>
        <w:t xml:space="preserve">Því er einungis hægt að tala um hefðbundna eða ríkjandi menningu og lífsstíl sem einkennir </w:t>
      </w:r>
      <w:r w:rsidR="00562CEE">
        <w:t>kin</w:t>
      </w:r>
      <w:r>
        <w:t>versku þjóðina</w:t>
      </w:r>
      <w:r w:rsidR="00BF3414">
        <w:t>.</w:t>
      </w:r>
      <w:r w:rsidR="00DB22AC">
        <w:t xml:space="preserve"> </w:t>
      </w:r>
      <w:r w:rsidR="00562CEE">
        <w:t>Kin</w:t>
      </w:r>
      <w:r>
        <w:t>versk menning og siðfræði er undir áhrifum konfúsíusarhyggju, daoisma, búddisma, Qi Gong og þjóðtrúar.</w:t>
      </w:r>
    </w:p>
    <w:p w14:paraId="7CCB7F2A" w14:textId="7041B1CD" w:rsidR="00453DA4" w:rsidRDefault="00453DA4" w:rsidP="00453DA4">
      <w:pPr>
        <w:pStyle w:val="Texti2"/>
      </w:pPr>
      <w:r>
        <w:t>Fyrir um 2500 árum, á tímum Zhou ættarinnar þegar þar ríkti ófriður á milli smákónga lifðu þar tveir spekingar í</w:t>
      </w:r>
      <w:r w:rsidR="00DB22AC">
        <w:t xml:space="preserve"> Kína</w:t>
      </w:r>
      <w:r>
        <w:t>, Konfúsíus og Laó Tse</w:t>
      </w:r>
      <w:r w:rsidR="00BF3414">
        <w:t>.</w:t>
      </w:r>
      <w:r w:rsidR="00DB22AC">
        <w:t xml:space="preserve"> </w:t>
      </w:r>
      <w:r>
        <w:t>Þeir höfðu mikil áhrif og kenningar þeirra urðu nánast sem trúarbrögð</w:t>
      </w:r>
      <w:r w:rsidR="00BF3414">
        <w:t>.</w:t>
      </w:r>
      <w:r w:rsidR="00DB22AC">
        <w:t xml:space="preserve"> </w:t>
      </w:r>
      <w:r>
        <w:t>Konfúsíus trúði því að menn væru góðir að eðli en þeir þyrftu fræðslu</w:t>
      </w:r>
      <w:r w:rsidR="00BF3414">
        <w:t>.</w:t>
      </w:r>
      <w:r w:rsidR="00DB22AC">
        <w:t xml:space="preserve"> </w:t>
      </w:r>
      <w:r>
        <w:t>Hann trúði því að ef fólk fengu kennslu um rétta hegðun þá yrði friður en ekki lengur stríð</w:t>
      </w:r>
      <w:r w:rsidR="00BF3414">
        <w:t>.</w:t>
      </w:r>
      <w:r w:rsidR="00DB22AC">
        <w:t xml:space="preserve"> </w:t>
      </w:r>
      <w:r>
        <w:t>Fólk átti að hlusta á kennara eða höfðingja sem myndi sinna sínu fólki</w:t>
      </w:r>
      <w:r w:rsidR="00BF3414">
        <w:t>.</w:t>
      </w:r>
      <w:r w:rsidR="00DB22AC">
        <w:t xml:space="preserve"> </w:t>
      </w:r>
      <w:r>
        <w:t>Hins vegar kenndi Laó Tse mönnum að þeir ættu að lifa einföldu lífi í líkingu við lögmál náttúrunnar</w:t>
      </w:r>
      <w:r w:rsidR="00BF3414">
        <w:t>.</w:t>
      </w:r>
      <w:r w:rsidR="00DB22AC">
        <w:t xml:space="preserve"> </w:t>
      </w:r>
      <w:r>
        <w:t>Hann hélt því fram að menn ættu að stunda íhugun og innlifun til að öðlast þroska</w:t>
      </w:r>
      <w:r w:rsidR="00BF3414">
        <w:t>.</w:t>
      </w:r>
      <w:r w:rsidR="00DB22AC">
        <w:t xml:space="preserve"> </w:t>
      </w:r>
      <w:r>
        <w:t>Bókin um veginn er talinn vera bók sem Laó Tse skrifað sem er enn mikið lesin.</w:t>
      </w:r>
    </w:p>
    <w:p w14:paraId="42056C25" w14:textId="29ED649D" w:rsidR="00453DA4" w:rsidRDefault="00453DA4" w:rsidP="00453DA4">
      <w:pPr>
        <w:pStyle w:val="Texti2"/>
      </w:pPr>
      <w:r>
        <w:t>Trúin er margvísleg og í hverjum héraði í</w:t>
      </w:r>
      <w:r w:rsidR="00DB22AC">
        <w:t xml:space="preserve"> Kína</w:t>
      </w:r>
      <w:r>
        <w:t xml:space="preserve"> eru ólíkar tegundir af dýrkun iðkuð</w:t>
      </w:r>
      <w:r w:rsidR="00BF3414">
        <w:t>.</w:t>
      </w:r>
      <w:r w:rsidR="00DB22AC">
        <w:t xml:space="preserve"> </w:t>
      </w:r>
      <w:r w:rsidR="00562CEE">
        <w:t>Kin</w:t>
      </w:r>
      <w:r>
        <w:t>versk þjóðtrú byggist á dýrkun dreka, náttúruanda, goða og forfeðra</w:t>
      </w:r>
      <w:r w:rsidR="00BF3414">
        <w:t>.</w:t>
      </w:r>
      <w:r w:rsidR="00DB22AC">
        <w:t xml:space="preserve"> </w:t>
      </w:r>
      <w:r>
        <w:t xml:space="preserve">Margir </w:t>
      </w:r>
      <w:r w:rsidR="00562CEE">
        <w:t>kin</w:t>
      </w:r>
      <w:r>
        <w:t>verjar trúa á Qi Gong, sem hefur verið löng hefð fyrir íhugun, líkamsæfinga og lífsorku</w:t>
      </w:r>
      <w:r w:rsidR="00BF3414">
        <w:t>.</w:t>
      </w:r>
      <w:r w:rsidR="00DB22AC">
        <w:t xml:space="preserve"> </w:t>
      </w:r>
      <w:r>
        <w:t>Markmiðið með því að stunda Qi er að fá hugarró og góða heilsu</w:t>
      </w:r>
      <w:r w:rsidR="00BF3414">
        <w:t>.</w:t>
      </w:r>
      <w:r w:rsidR="00DB22AC">
        <w:t xml:space="preserve"> </w:t>
      </w:r>
      <w:r>
        <w:t xml:space="preserve">Daoismi er hluti af </w:t>
      </w:r>
      <w:r w:rsidR="00562CEE">
        <w:t>kin</w:t>
      </w:r>
      <w:r>
        <w:t xml:space="preserve">versku þjóðtrúnni og eru </w:t>
      </w:r>
      <w:r w:rsidR="00562CEE">
        <w:t>kin</w:t>
      </w:r>
      <w:r>
        <w:t>versk heimspeki og trúarbrögð (sem byggja á kenningum Laó Tse frá 4</w:t>
      </w:r>
      <w:r w:rsidR="00BF3414">
        <w:t>.</w:t>
      </w:r>
      <w:r w:rsidR="00DB22AC">
        <w:t xml:space="preserve"> </w:t>
      </w:r>
      <w:r>
        <w:t>öld f.kr.)</w:t>
      </w:r>
      <w:r w:rsidR="00BF3414">
        <w:t>.</w:t>
      </w:r>
      <w:r w:rsidR="00DB22AC">
        <w:t xml:space="preserve"> </w:t>
      </w:r>
      <w:r>
        <w:t>en hann gengur út á það að lifa í sátt við Dao (veginn sem er undirliggjandi kraftur alheimsins)</w:t>
      </w:r>
      <w:r w:rsidR="00BF3414">
        <w:t>.</w:t>
      </w:r>
      <w:r w:rsidR="00DB22AC">
        <w:t xml:space="preserve"> </w:t>
      </w:r>
    </w:p>
    <w:p w14:paraId="3E16030B" w14:textId="5C8C89C3" w:rsidR="00333C64" w:rsidRDefault="00333C64" w:rsidP="00D83996"/>
    <w:p w14:paraId="168DF774" w14:textId="77777777" w:rsidR="000114D0" w:rsidRDefault="000114D0" w:rsidP="00D83996"/>
    <w:p w14:paraId="6D7F8108" w14:textId="2DEADE2D" w:rsidR="00333C64" w:rsidRDefault="005E53F3" w:rsidP="00333C64">
      <w:r>
        <w:t>Dagsetning (</w:t>
      </w:r>
      <w:r w:rsidR="000114D0">
        <w:t>E</w:t>
      </w:r>
      <w:r>
        <w:t>yddu síðan þessum texta)</w:t>
      </w:r>
    </w:p>
    <w:p w14:paraId="4F85FE0D" w14:textId="77777777" w:rsidR="00333C64" w:rsidRPr="00330E1F" w:rsidRDefault="00333C64" w:rsidP="00333C64">
      <w:pPr>
        <w:rPr>
          <w:sz w:val="18"/>
          <w:szCs w:val="20"/>
        </w:rPr>
      </w:pPr>
    </w:p>
    <w:p w14:paraId="62701329" w14:textId="77777777" w:rsidR="00333C64" w:rsidRPr="00330E1F" w:rsidRDefault="00333C64" w:rsidP="00333C64">
      <w:pPr>
        <w:rPr>
          <w:sz w:val="18"/>
          <w:szCs w:val="20"/>
        </w:rPr>
      </w:pPr>
    </w:p>
    <w:p w14:paraId="009BEEF4" w14:textId="77777777" w:rsidR="00333C64" w:rsidRPr="00330E1F" w:rsidRDefault="00333C64" w:rsidP="00333C64">
      <w:pPr>
        <w:rPr>
          <w:sz w:val="18"/>
          <w:szCs w:val="20"/>
        </w:rPr>
      </w:pPr>
    </w:p>
    <w:p w14:paraId="0778B40F" w14:textId="1BA9B134" w:rsidR="00C1570D" w:rsidRDefault="00333C64" w:rsidP="00333C64">
      <w:r w:rsidRPr="000114D0">
        <w:t xml:space="preserve">Nafnið þitt </w:t>
      </w:r>
      <w:r w:rsidR="009B3247" w:rsidRPr="000114D0">
        <w:t>(</w:t>
      </w:r>
      <w:r w:rsidR="000114D0">
        <w:t>F</w:t>
      </w:r>
      <w:r w:rsidR="009B3247" w:rsidRPr="000114D0">
        <w:t>ullt nafn</w:t>
      </w:r>
      <w:r w:rsidR="000F33DC">
        <w:t xml:space="preserve"> – Skáletrað –</w:t>
      </w:r>
      <w:r w:rsidR="00114E7C">
        <w:t xml:space="preserve"> </w:t>
      </w:r>
      <w:r w:rsidR="000114D0">
        <w:t>E</w:t>
      </w:r>
      <w:r w:rsidR="005E53F3" w:rsidRPr="000114D0">
        <w:t>yddu síðan þessum texta)</w:t>
      </w:r>
    </w:p>
    <w:p w14:paraId="4C51011B" w14:textId="77777777" w:rsidR="000F33DC" w:rsidRPr="000114D0" w:rsidRDefault="000F33DC" w:rsidP="00333C64"/>
    <w:p w14:paraId="37834635" w14:textId="790EB82B" w:rsidR="00290C20" w:rsidRDefault="00241568" w:rsidP="006B7E74">
      <w:pPr>
        <w:pStyle w:val="Heading1"/>
      </w:pPr>
      <w:r>
        <w:t>Heimildir</w:t>
      </w:r>
    </w:p>
    <w:p w14:paraId="385720E0" w14:textId="55F208DA" w:rsidR="00897F83" w:rsidRDefault="00DB22AC" w:rsidP="005A7962">
      <w:pPr>
        <w:pStyle w:val="Heimildir"/>
        <w:rPr>
          <w:i/>
          <w:iCs/>
          <w:szCs w:val="20"/>
        </w:rPr>
      </w:pPr>
      <w:r>
        <w:t>Kína</w:t>
      </w:r>
      <w:r w:rsidR="00897F83">
        <w:t>múrinn</w:t>
      </w:r>
      <w:r w:rsidR="00BF3414">
        <w:t>.</w:t>
      </w:r>
      <w:r>
        <w:t xml:space="preserve"> </w:t>
      </w:r>
      <w:r w:rsidR="00897F83">
        <w:t>(2022, 18</w:t>
      </w:r>
      <w:r w:rsidR="00BF3414">
        <w:t>.</w:t>
      </w:r>
      <w:r>
        <w:t xml:space="preserve"> </w:t>
      </w:r>
      <w:r w:rsidR="00897F83">
        <w:t xml:space="preserve">desember) </w:t>
      </w:r>
      <w:r w:rsidR="00897F83" w:rsidRPr="0049171A">
        <w:rPr>
          <w:i/>
          <w:iCs/>
        </w:rPr>
        <w:t>Wikipedia, frjálsa alfræðiritið</w:t>
      </w:r>
      <w:r w:rsidR="00BF3414">
        <w:rPr>
          <w:i/>
          <w:iCs/>
          <w:szCs w:val="20"/>
        </w:rPr>
        <w:t>.</w:t>
      </w:r>
      <w:r>
        <w:rPr>
          <w:i/>
          <w:iCs/>
          <w:szCs w:val="20"/>
        </w:rPr>
        <w:t xml:space="preserve"> </w:t>
      </w:r>
      <w:r w:rsidR="00897F83" w:rsidRPr="0008166D">
        <w:rPr>
          <w:szCs w:val="20"/>
        </w:rPr>
        <w:t>https://is.wikipedia.org/wiki/K%C3%ADnam%C3%BArinn</w:t>
      </w:r>
      <w:r>
        <w:rPr>
          <w:i/>
          <w:iCs/>
          <w:szCs w:val="20"/>
        </w:rPr>
        <w:t xml:space="preserve"> </w:t>
      </w:r>
    </w:p>
    <w:p w14:paraId="01950440" w14:textId="7AEB6FF6" w:rsidR="00897F83" w:rsidRPr="00A33B3B" w:rsidRDefault="00897F83" w:rsidP="00F1300B">
      <w:pPr>
        <w:pStyle w:val="Heimildir"/>
      </w:pPr>
      <w:r>
        <w:t>Mochere</w:t>
      </w:r>
      <w:r w:rsidR="00A43801" w:rsidRPr="00A43801">
        <w:t xml:space="preserve"> </w:t>
      </w:r>
      <w:r w:rsidR="00A43801">
        <w:t>V</w:t>
      </w:r>
      <w:r w:rsidR="00BF3414">
        <w:t>.</w:t>
      </w:r>
      <w:r w:rsidR="00DB22AC">
        <w:t xml:space="preserve"> </w:t>
      </w:r>
      <w:r>
        <w:t>(</w:t>
      </w:r>
      <w:r w:rsidR="0008166D">
        <w:t>á</w:t>
      </w:r>
      <w:r>
        <w:t>.</w:t>
      </w:r>
      <w:r w:rsidR="0008166D">
        <w:t>á</w:t>
      </w:r>
      <w:r>
        <w:t xml:space="preserve">.) </w:t>
      </w:r>
      <w:r w:rsidRPr="0008166D">
        <w:rPr>
          <w:i/>
          <w:iCs/>
        </w:rPr>
        <w:t>Topp 20 mest töluðu tungumál í</w:t>
      </w:r>
      <w:r w:rsidR="00DB22AC" w:rsidRPr="0008166D">
        <w:rPr>
          <w:i/>
          <w:iCs/>
        </w:rPr>
        <w:t xml:space="preserve"> </w:t>
      </w:r>
      <w:r w:rsidRPr="0008166D">
        <w:rPr>
          <w:i/>
          <w:iCs/>
        </w:rPr>
        <w:t>heiminum 2023</w:t>
      </w:r>
      <w:r w:rsidR="00BF3414">
        <w:t>.</w:t>
      </w:r>
      <w:r w:rsidR="00DB22AC">
        <w:t xml:space="preserve"> </w:t>
      </w:r>
      <w:hyperlink r:id="rId12" w:history="1">
        <w:r w:rsidRPr="00F1300B">
          <w:t>https://victormochere.com/is/top-20-most-spoken-languages-in-the-world</w:t>
        </w:r>
      </w:hyperlink>
    </w:p>
    <w:p w14:paraId="3799E589" w14:textId="34CE1D54" w:rsidR="00897F83" w:rsidRPr="005524C5" w:rsidRDefault="00897F83" w:rsidP="005A7962">
      <w:pPr>
        <w:pStyle w:val="Heimildir"/>
        <w:rPr>
          <w:i/>
          <w:iCs/>
          <w:szCs w:val="20"/>
        </w:rPr>
      </w:pPr>
      <w:r>
        <w:t>K</w:t>
      </w:r>
      <w:r w:rsidR="00A43801">
        <w:t>í</w:t>
      </w:r>
      <w:r>
        <w:t>nverska</w:t>
      </w:r>
      <w:r w:rsidR="00BF3414">
        <w:t>.</w:t>
      </w:r>
      <w:r w:rsidR="00DB22AC">
        <w:t xml:space="preserve"> </w:t>
      </w:r>
      <w:r>
        <w:t>(2021, 11</w:t>
      </w:r>
      <w:r w:rsidR="00BF3414">
        <w:t>.</w:t>
      </w:r>
      <w:r w:rsidR="00DB22AC">
        <w:t xml:space="preserve"> </w:t>
      </w:r>
      <w:r>
        <w:t>mars)</w:t>
      </w:r>
      <w:r w:rsidR="00BF3414">
        <w:t>.</w:t>
      </w:r>
      <w:r w:rsidR="00DB22AC">
        <w:t xml:space="preserve"> </w:t>
      </w:r>
      <w:r w:rsidRPr="0049171A">
        <w:rPr>
          <w:i/>
          <w:iCs/>
        </w:rPr>
        <w:t>Wikipedia, frjálsa alfræðiritið</w:t>
      </w:r>
      <w:r w:rsidR="00BF3414">
        <w:rPr>
          <w:i/>
          <w:iCs/>
          <w:szCs w:val="20"/>
        </w:rPr>
        <w:t>.</w:t>
      </w:r>
      <w:r w:rsidR="00DB22AC">
        <w:rPr>
          <w:i/>
          <w:iCs/>
          <w:szCs w:val="20"/>
        </w:rPr>
        <w:t xml:space="preserve"> </w:t>
      </w:r>
      <w:r w:rsidRPr="0008166D">
        <w:rPr>
          <w:szCs w:val="20"/>
        </w:rPr>
        <w:t>https://is.wikipedia.org/wiki/K%C3%ADnverska</w:t>
      </w:r>
      <w:r>
        <w:rPr>
          <w:i/>
          <w:iCs/>
          <w:szCs w:val="20"/>
        </w:rPr>
        <w:t xml:space="preserve"> </w:t>
      </w:r>
    </w:p>
    <w:p w14:paraId="17EF2B63" w14:textId="1DBA4C6F" w:rsidR="003606E2" w:rsidRDefault="00DB22AC" w:rsidP="005A7962">
      <w:pPr>
        <w:pStyle w:val="Heimildir"/>
        <w:rPr>
          <w:szCs w:val="20"/>
        </w:rPr>
      </w:pPr>
      <w:r>
        <w:rPr>
          <w:szCs w:val="20"/>
        </w:rPr>
        <w:t>Kína</w:t>
      </w:r>
      <w:r w:rsidR="003606E2" w:rsidRPr="00A33B3B">
        <w:rPr>
          <w:szCs w:val="20"/>
        </w:rPr>
        <w:t>múrinn yfir tvöfalt lengri en áður var talið</w:t>
      </w:r>
      <w:r w:rsidR="00BF3414">
        <w:rPr>
          <w:szCs w:val="20"/>
        </w:rPr>
        <w:t>.</w:t>
      </w:r>
      <w:r>
        <w:rPr>
          <w:szCs w:val="20"/>
        </w:rPr>
        <w:t xml:space="preserve"> </w:t>
      </w:r>
      <w:r w:rsidR="003606E2">
        <w:rPr>
          <w:szCs w:val="20"/>
        </w:rPr>
        <w:t>(</w:t>
      </w:r>
      <w:r w:rsidR="003606E2" w:rsidRPr="00F1300B">
        <w:rPr>
          <w:szCs w:val="20"/>
        </w:rPr>
        <w:t>2012, 8</w:t>
      </w:r>
      <w:r w:rsidR="00BF3414">
        <w:rPr>
          <w:szCs w:val="20"/>
        </w:rPr>
        <w:t>.</w:t>
      </w:r>
      <w:r>
        <w:rPr>
          <w:szCs w:val="20"/>
        </w:rPr>
        <w:t xml:space="preserve"> </w:t>
      </w:r>
      <w:r w:rsidR="003606E2" w:rsidRPr="00F1300B">
        <w:rPr>
          <w:szCs w:val="20"/>
        </w:rPr>
        <w:t>júní)</w:t>
      </w:r>
      <w:r w:rsidR="00BF3414">
        <w:rPr>
          <w:szCs w:val="20"/>
        </w:rPr>
        <w:t>.</w:t>
      </w:r>
      <w:r>
        <w:rPr>
          <w:szCs w:val="20"/>
        </w:rPr>
        <w:t xml:space="preserve"> </w:t>
      </w:r>
      <w:r w:rsidR="003606E2" w:rsidRPr="0049171A">
        <w:rPr>
          <w:i/>
          <w:iCs/>
          <w:szCs w:val="20"/>
        </w:rPr>
        <w:t>visir.is</w:t>
      </w:r>
      <w:r w:rsidR="00BF3414">
        <w:rPr>
          <w:szCs w:val="20"/>
        </w:rPr>
        <w:t>.</w:t>
      </w:r>
      <w:r>
        <w:rPr>
          <w:szCs w:val="20"/>
        </w:rPr>
        <w:t xml:space="preserve"> </w:t>
      </w:r>
      <w:hyperlink r:id="rId13" w:history="1">
        <w:r w:rsidR="003606E2" w:rsidRPr="00F1300B">
          <w:t>https://www.visir.is/g/20121051781d</w:t>
        </w:r>
      </w:hyperlink>
      <w:r w:rsidR="003606E2">
        <w:rPr>
          <w:szCs w:val="20"/>
        </w:rPr>
        <w:t xml:space="preserve"> </w:t>
      </w:r>
    </w:p>
    <w:p w14:paraId="4D60267E" w14:textId="5E2EF07C" w:rsidR="003606E2" w:rsidRDefault="00DB22AC" w:rsidP="005A7962">
      <w:pPr>
        <w:pStyle w:val="Heimildir"/>
        <w:rPr>
          <w:i/>
          <w:iCs/>
          <w:szCs w:val="20"/>
        </w:rPr>
      </w:pPr>
      <w:r>
        <w:t>Kína</w:t>
      </w:r>
      <w:r w:rsidR="00BF3414">
        <w:t>.</w:t>
      </w:r>
      <w:r>
        <w:t xml:space="preserve"> </w:t>
      </w:r>
      <w:r w:rsidR="003606E2">
        <w:t>(2022, 13</w:t>
      </w:r>
      <w:r w:rsidR="00BF3414">
        <w:t>.</w:t>
      </w:r>
      <w:r>
        <w:t xml:space="preserve"> </w:t>
      </w:r>
      <w:r w:rsidR="003606E2">
        <w:t>nóvember)</w:t>
      </w:r>
      <w:r w:rsidR="00BF3414">
        <w:t>.</w:t>
      </w:r>
      <w:r>
        <w:t xml:space="preserve"> </w:t>
      </w:r>
      <w:r w:rsidR="003606E2" w:rsidRPr="0049171A">
        <w:rPr>
          <w:i/>
          <w:iCs/>
        </w:rPr>
        <w:t>Wikipedia, frjálsa alfræðiritið</w:t>
      </w:r>
      <w:r w:rsidR="00BF3414">
        <w:rPr>
          <w:i/>
          <w:iCs/>
          <w:szCs w:val="20"/>
        </w:rPr>
        <w:t>.</w:t>
      </w:r>
      <w:r>
        <w:rPr>
          <w:i/>
          <w:iCs/>
          <w:szCs w:val="20"/>
        </w:rPr>
        <w:t xml:space="preserve"> </w:t>
      </w:r>
      <w:r w:rsidR="003606E2" w:rsidRPr="0008166D">
        <w:rPr>
          <w:szCs w:val="20"/>
        </w:rPr>
        <w:t>https://is.wikipedia.org/wiki/K%C3%ADna</w:t>
      </w:r>
    </w:p>
    <w:sectPr w:rsidR="003606E2" w:rsidSect="000123F9">
      <w:pgSz w:w="11906" w:h="16838" w:code="9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47D8" w14:textId="77777777" w:rsidR="00E25E88" w:rsidRDefault="00E25E88" w:rsidP="00AB2E45">
      <w:r>
        <w:separator/>
      </w:r>
    </w:p>
  </w:endnote>
  <w:endnote w:type="continuationSeparator" w:id="0">
    <w:p w14:paraId="23390B03" w14:textId="77777777" w:rsidR="00E25E88" w:rsidRDefault="00E25E88" w:rsidP="00A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82A5" w14:textId="77777777" w:rsidR="00E25E88" w:rsidRDefault="00E25E88" w:rsidP="00AB2E45">
      <w:r>
        <w:separator/>
      </w:r>
    </w:p>
  </w:footnote>
  <w:footnote w:type="continuationSeparator" w:id="0">
    <w:p w14:paraId="42D1EA3D" w14:textId="77777777" w:rsidR="00E25E88" w:rsidRDefault="00E25E88" w:rsidP="00AB2E45">
      <w:r>
        <w:continuationSeparator/>
      </w:r>
    </w:p>
  </w:footnote>
  <w:footnote w:id="1">
    <w:p w14:paraId="568DAF2C" w14:textId="340C4B24" w:rsidR="005E53F3" w:rsidRDefault="005E53F3" w:rsidP="005E5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DB22AC">
        <w:t xml:space="preserve"> Kína</w:t>
      </w:r>
      <w:r>
        <w:t>múrinn, liggur að hluta í gegnum nyrðri hluta borgarinnar, varði borgina frá áhlaupum flækinga úr auðninni.</w:t>
      </w:r>
    </w:p>
  </w:footnote>
  <w:footnote w:id="2">
    <w:p w14:paraId="11827F61" w14:textId="77777777" w:rsidR="00B63E0D" w:rsidRDefault="00B63E0D" w:rsidP="00B63E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Listasöfn borgarinnar og háskólar hennar gera hana að menningarmiðstöð landsins.</w:t>
      </w:r>
    </w:p>
  </w:footnote>
  <w:footnote w:id="3">
    <w:p w14:paraId="53FE23B0" w14:textId="3F1095C6" w:rsidR="00FD0E1B" w:rsidRDefault="00FD0E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Erfitt getur verið að ákvarða íbúafjölda borga, bæði vegna ákvörðunar borgarmarka (sbr</w:t>
      </w:r>
      <w:r w:rsidR="00BF3414">
        <w:t>.</w:t>
      </w:r>
      <w:r w:rsidR="00DB22AC">
        <w:t xml:space="preserve"> </w:t>
      </w:r>
      <w:r>
        <w:t>Chongqing sem er bæði sveitarfélag og stórt hérað) og vegna stöðugs straums farandverkafólks til stærri borga.</w:t>
      </w:r>
    </w:p>
  </w:footnote>
  <w:footnote w:id="4">
    <w:p w14:paraId="6ECE8CB5" w14:textId="72B8EA6B" w:rsidR="00C03AEC" w:rsidRDefault="00C03A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03AEC">
        <w:t>Héruð alþýðulýðveldisins eru 33 talsins (Taívan ekki meðtalið).</w:t>
      </w:r>
    </w:p>
  </w:footnote>
  <w:footnote w:id="5">
    <w:p w14:paraId="39870D98" w14:textId="77777777" w:rsidR="00453DA4" w:rsidRDefault="00453DA4" w:rsidP="00453D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91B4A">
        <w:t>Hong Kong er einn af þéttbýlustu stöðum heims, með 7,4 milljón íbúa af margvíslegum uppruna á 1.104 ferkílómetra svæði.</w:t>
      </w:r>
    </w:p>
  </w:footnote>
  <w:footnote w:id="6">
    <w:p w14:paraId="278B6732" w14:textId="5C0C5188" w:rsidR="00453DA4" w:rsidRDefault="00453DA4" w:rsidP="00453D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763AD">
        <w:t>Árið 1987 var</w:t>
      </w:r>
      <w:r w:rsidR="00DB22AC">
        <w:t xml:space="preserve"> Kína</w:t>
      </w:r>
      <w:r w:rsidRPr="004763AD">
        <w:t>múrinn settur á heimsminjaskrá UNESCO</w:t>
      </w:r>
      <w:r w:rsidR="00BF3414">
        <w:t>.</w:t>
      </w:r>
      <w:r w:rsidR="00DB22AC">
        <w:t xml:space="preserve"> </w:t>
      </w:r>
      <w:r w:rsidRPr="004763AD">
        <w:t>Múrinn er nú vinsæll ferðamannastaður í</w:t>
      </w:r>
      <w:r w:rsidR="00DB22AC">
        <w:t xml:space="preserve"> Kína</w:t>
      </w:r>
      <w:r w:rsidRPr="004763AD">
        <w:t xml:space="preserve"> og á ágangur ferðamanna á múrinn nú mestan þátt í að þörf er á viðhaldi og viðgerðum á honum.</w:t>
      </w:r>
    </w:p>
  </w:footnote>
  <w:footnote w:id="7">
    <w:p w14:paraId="0762D266" w14:textId="29690A92" w:rsidR="00A33B3B" w:rsidRDefault="00A33B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33B3B">
        <w:t>Áður var talið að múrinn væri tæplega 9.000 kílómetra að lengd en hinar nýju mælingar sýna að hann er í raun rúmlega 21.000 kílómetra langur.</w:t>
      </w:r>
    </w:p>
  </w:footnote>
  <w:footnote w:id="8">
    <w:p w14:paraId="1DDD625D" w14:textId="63899BC8" w:rsidR="00AC28CC" w:rsidRDefault="00AC28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C28CC">
        <w:t xml:space="preserve">Meðlimir </w:t>
      </w:r>
      <w:r w:rsidR="00562CEE">
        <w:t>kin</w:t>
      </w:r>
      <w:r w:rsidRPr="00AC28CC">
        <w:t xml:space="preserve">verska kommúnistaflokksins eru trúleysingjar, en </w:t>
      </w:r>
      <w:r w:rsidR="00562CEE">
        <w:t>kin</w:t>
      </w:r>
      <w:r w:rsidRPr="00AC28CC">
        <w:t>versk stjórnvöld leyfa venjulegu fólki að iðka trúarbrögð.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3D4F"/>
    <w:multiLevelType w:val="hybridMultilevel"/>
    <w:tmpl w:val="90B4E7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11A36"/>
    <w:multiLevelType w:val="multilevel"/>
    <w:tmpl w:val="60D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10D7"/>
    <w:multiLevelType w:val="hybridMultilevel"/>
    <w:tmpl w:val="835E4EA8"/>
    <w:lvl w:ilvl="0" w:tplc="F00CC16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310"/>
    <w:multiLevelType w:val="hybridMultilevel"/>
    <w:tmpl w:val="2F4CBF0C"/>
    <w:lvl w:ilvl="0" w:tplc="BB1CB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16B"/>
    <w:multiLevelType w:val="multilevel"/>
    <w:tmpl w:val="F626D9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56043B"/>
    <w:multiLevelType w:val="hybridMultilevel"/>
    <w:tmpl w:val="45E26DCA"/>
    <w:lvl w:ilvl="0" w:tplc="1C648E6E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AB8"/>
    <w:multiLevelType w:val="multilevel"/>
    <w:tmpl w:val="FD5C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97E0AB0"/>
    <w:multiLevelType w:val="hybridMultilevel"/>
    <w:tmpl w:val="842858F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C52ED0"/>
    <w:multiLevelType w:val="hybridMultilevel"/>
    <w:tmpl w:val="574A2C3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93B9B"/>
    <w:multiLevelType w:val="hybridMultilevel"/>
    <w:tmpl w:val="C4BE24A8"/>
    <w:lvl w:ilvl="0" w:tplc="F00CC16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6847">
    <w:abstractNumId w:val="7"/>
  </w:num>
  <w:num w:numId="2" w16cid:durableId="1016929598">
    <w:abstractNumId w:val="7"/>
  </w:num>
  <w:num w:numId="3" w16cid:durableId="1045369442">
    <w:abstractNumId w:val="4"/>
  </w:num>
  <w:num w:numId="4" w16cid:durableId="84614639">
    <w:abstractNumId w:val="2"/>
  </w:num>
  <w:num w:numId="5" w16cid:durableId="1134911874">
    <w:abstractNumId w:val="6"/>
  </w:num>
  <w:num w:numId="6" w16cid:durableId="856967654">
    <w:abstractNumId w:val="5"/>
  </w:num>
  <w:num w:numId="7" w16cid:durableId="2026900056">
    <w:abstractNumId w:val="1"/>
  </w:num>
  <w:num w:numId="8" w16cid:durableId="931208810">
    <w:abstractNumId w:val="10"/>
  </w:num>
  <w:num w:numId="9" w16cid:durableId="1288007485">
    <w:abstractNumId w:val="8"/>
  </w:num>
  <w:num w:numId="10" w16cid:durableId="101192702">
    <w:abstractNumId w:val="3"/>
  </w:num>
  <w:num w:numId="11" w16cid:durableId="1737124777">
    <w:abstractNumId w:val="0"/>
  </w:num>
  <w:num w:numId="12" w16cid:durableId="1116603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5"/>
    <w:rsid w:val="0000148B"/>
    <w:rsid w:val="000114D0"/>
    <w:rsid w:val="000123F9"/>
    <w:rsid w:val="00022276"/>
    <w:rsid w:val="0002680C"/>
    <w:rsid w:val="00037227"/>
    <w:rsid w:val="00040506"/>
    <w:rsid w:val="0004220E"/>
    <w:rsid w:val="00050B38"/>
    <w:rsid w:val="000603CB"/>
    <w:rsid w:val="0008166D"/>
    <w:rsid w:val="000915A7"/>
    <w:rsid w:val="00095CBF"/>
    <w:rsid w:val="000A2984"/>
    <w:rsid w:val="000A65F1"/>
    <w:rsid w:val="000C4ABB"/>
    <w:rsid w:val="000C7EE4"/>
    <w:rsid w:val="000D0484"/>
    <w:rsid w:val="000E29A3"/>
    <w:rsid w:val="000F33DC"/>
    <w:rsid w:val="000F745B"/>
    <w:rsid w:val="00114E7C"/>
    <w:rsid w:val="0012280B"/>
    <w:rsid w:val="001251CA"/>
    <w:rsid w:val="00141EF9"/>
    <w:rsid w:val="00157F8F"/>
    <w:rsid w:val="00172497"/>
    <w:rsid w:val="00175141"/>
    <w:rsid w:val="00185F0B"/>
    <w:rsid w:val="001942D2"/>
    <w:rsid w:val="001969C3"/>
    <w:rsid w:val="001A7894"/>
    <w:rsid w:val="001B1623"/>
    <w:rsid w:val="001B200E"/>
    <w:rsid w:val="001B2788"/>
    <w:rsid w:val="001C0744"/>
    <w:rsid w:val="001D0044"/>
    <w:rsid w:val="001E3A26"/>
    <w:rsid w:val="0020225E"/>
    <w:rsid w:val="00203AEE"/>
    <w:rsid w:val="00211148"/>
    <w:rsid w:val="002142D2"/>
    <w:rsid w:val="0022246D"/>
    <w:rsid w:val="00222730"/>
    <w:rsid w:val="00223F6D"/>
    <w:rsid w:val="00226491"/>
    <w:rsid w:val="002353B2"/>
    <w:rsid w:val="00241568"/>
    <w:rsid w:val="00251B79"/>
    <w:rsid w:val="00256F0D"/>
    <w:rsid w:val="00257E94"/>
    <w:rsid w:val="0028107C"/>
    <w:rsid w:val="00284390"/>
    <w:rsid w:val="00290C20"/>
    <w:rsid w:val="002A6128"/>
    <w:rsid w:val="002B6903"/>
    <w:rsid w:val="002D0204"/>
    <w:rsid w:val="002D1494"/>
    <w:rsid w:val="002D2718"/>
    <w:rsid w:val="002E50B8"/>
    <w:rsid w:val="002F3E34"/>
    <w:rsid w:val="00304E96"/>
    <w:rsid w:val="0031285F"/>
    <w:rsid w:val="0031715D"/>
    <w:rsid w:val="003217DC"/>
    <w:rsid w:val="0032693A"/>
    <w:rsid w:val="00330E1F"/>
    <w:rsid w:val="00333C64"/>
    <w:rsid w:val="00343024"/>
    <w:rsid w:val="0034491F"/>
    <w:rsid w:val="003477F7"/>
    <w:rsid w:val="00347FC8"/>
    <w:rsid w:val="00354136"/>
    <w:rsid w:val="00356418"/>
    <w:rsid w:val="003606E2"/>
    <w:rsid w:val="00364893"/>
    <w:rsid w:val="003708FA"/>
    <w:rsid w:val="00370F7D"/>
    <w:rsid w:val="0038250F"/>
    <w:rsid w:val="003838A2"/>
    <w:rsid w:val="003901D9"/>
    <w:rsid w:val="00390426"/>
    <w:rsid w:val="00393BC8"/>
    <w:rsid w:val="003A4790"/>
    <w:rsid w:val="003D6CA5"/>
    <w:rsid w:val="003E2B71"/>
    <w:rsid w:val="003F0BF2"/>
    <w:rsid w:val="00407F69"/>
    <w:rsid w:val="00412EB5"/>
    <w:rsid w:val="004207E8"/>
    <w:rsid w:val="00420EF2"/>
    <w:rsid w:val="00421E70"/>
    <w:rsid w:val="00425027"/>
    <w:rsid w:val="00443328"/>
    <w:rsid w:val="00445C25"/>
    <w:rsid w:val="00453DA4"/>
    <w:rsid w:val="0046656A"/>
    <w:rsid w:val="00466D05"/>
    <w:rsid w:val="004746F0"/>
    <w:rsid w:val="0047510D"/>
    <w:rsid w:val="004771BA"/>
    <w:rsid w:val="00477218"/>
    <w:rsid w:val="004837A2"/>
    <w:rsid w:val="00483CEF"/>
    <w:rsid w:val="0049171A"/>
    <w:rsid w:val="00491E72"/>
    <w:rsid w:val="00496F4B"/>
    <w:rsid w:val="004B3505"/>
    <w:rsid w:val="004B6BFC"/>
    <w:rsid w:val="004C516B"/>
    <w:rsid w:val="004C6C86"/>
    <w:rsid w:val="004D5669"/>
    <w:rsid w:val="004E2C8B"/>
    <w:rsid w:val="004E6159"/>
    <w:rsid w:val="004F1F03"/>
    <w:rsid w:val="005061EE"/>
    <w:rsid w:val="00514A2B"/>
    <w:rsid w:val="00531745"/>
    <w:rsid w:val="005524C5"/>
    <w:rsid w:val="0056184E"/>
    <w:rsid w:val="00562CEE"/>
    <w:rsid w:val="00587959"/>
    <w:rsid w:val="005A2450"/>
    <w:rsid w:val="005A7962"/>
    <w:rsid w:val="005E53F3"/>
    <w:rsid w:val="005E64B3"/>
    <w:rsid w:val="00610493"/>
    <w:rsid w:val="00613019"/>
    <w:rsid w:val="00637A69"/>
    <w:rsid w:val="00643D5F"/>
    <w:rsid w:val="00646EBB"/>
    <w:rsid w:val="00654BA7"/>
    <w:rsid w:val="00654D87"/>
    <w:rsid w:val="00672316"/>
    <w:rsid w:val="00681708"/>
    <w:rsid w:val="00681A4F"/>
    <w:rsid w:val="00694D6A"/>
    <w:rsid w:val="00695B6B"/>
    <w:rsid w:val="006A0D95"/>
    <w:rsid w:val="006A7158"/>
    <w:rsid w:val="006A7ACD"/>
    <w:rsid w:val="006B0732"/>
    <w:rsid w:val="006B7E74"/>
    <w:rsid w:val="006C52EB"/>
    <w:rsid w:val="006C78E0"/>
    <w:rsid w:val="006D21D6"/>
    <w:rsid w:val="006D3BF7"/>
    <w:rsid w:val="006E3124"/>
    <w:rsid w:val="006E3F96"/>
    <w:rsid w:val="006E4AA1"/>
    <w:rsid w:val="006E75ED"/>
    <w:rsid w:val="00704E8D"/>
    <w:rsid w:val="00783BDE"/>
    <w:rsid w:val="007877E5"/>
    <w:rsid w:val="007A3339"/>
    <w:rsid w:val="007A659F"/>
    <w:rsid w:val="007B5432"/>
    <w:rsid w:val="007B5AEC"/>
    <w:rsid w:val="007C38D7"/>
    <w:rsid w:val="007C40F2"/>
    <w:rsid w:val="007D6612"/>
    <w:rsid w:val="00802CE8"/>
    <w:rsid w:val="00804887"/>
    <w:rsid w:val="0081298E"/>
    <w:rsid w:val="00813678"/>
    <w:rsid w:val="00816950"/>
    <w:rsid w:val="008258AB"/>
    <w:rsid w:val="008338BD"/>
    <w:rsid w:val="0083545E"/>
    <w:rsid w:val="008400B3"/>
    <w:rsid w:val="00847399"/>
    <w:rsid w:val="0085686B"/>
    <w:rsid w:val="00864763"/>
    <w:rsid w:val="008703D2"/>
    <w:rsid w:val="00875076"/>
    <w:rsid w:val="00897F83"/>
    <w:rsid w:val="008A049B"/>
    <w:rsid w:val="008A0CB5"/>
    <w:rsid w:val="008B6C38"/>
    <w:rsid w:val="008C3001"/>
    <w:rsid w:val="008C65B7"/>
    <w:rsid w:val="008D0DDB"/>
    <w:rsid w:val="008D11CF"/>
    <w:rsid w:val="008D4410"/>
    <w:rsid w:val="008E5430"/>
    <w:rsid w:val="008F2084"/>
    <w:rsid w:val="00905E31"/>
    <w:rsid w:val="00912E75"/>
    <w:rsid w:val="00913A12"/>
    <w:rsid w:val="00921DB3"/>
    <w:rsid w:val="00933B7F"/>
    <w:rsid w:val="0096631F"/>
    <w:rsid w:val="009771B8"/>
    <w:rsid w:val="00984EB0"/>
    <w:rsid w:val="00991763"/>
    <w:rsid w:val="00992FC1"/>
    <w:rsid w:val="00995225"/>
    <w:rsid w:val="009A7C74"/>
    <w:rsid w:val="009B3247"/>
    <w:rsid w:val="009C33FB"/>
    <w:rsid w:val="009D63C5"/>
    <w:rsid w:val="009E507A"/>
    <w:rsid w:val="00A02546"/>
    <w:rsid w:val="00A11EA5"/>
    <w:rsid w:val="00A1685B"/>
    <w:rsid w:val="00A22778"/>
    <w:rsid w:val="00A2288E"/>
    <w:rsid w:val="00A25704"/>
    <w:rsid w:val="00A3183D"/>
    <w:rsid w:val="00A33B3B"/>
    <w:rsid w:val="00A43801"/>
    <w:rsid w:val="00A508E0"/>
    <w:rsid w:val="00A52CF4"/>
    <w:rsid w:val="00A6057C"/>
    <w:rsid w:val="00A62920"/>
    <w:rsid w:val="00A74E2F"/>
    <w:rsid w:val="00A76EA2"/>
    <w:rsid w:val="00A82D29"/>
    <w:rsid w:val="00A8776B"/>
    <w:rsid w:val="00A9015B"/>
    <w:rsid w:val="00A96202"/>
    <w:rsid w:val="00A96ED8"/>
    <w:rsid w:val="00AA0162"/>
    <w:rsid w:val="00AA1265"/>
    <w:rsid w:val="00AB2E45"/>
    <w:rsid w:val="00AB4836"/>
    <w:rsid w:val="00AC0B12"/>
    <w:rsid w:val="00AC28CC"/>
    <w:rsid w:val="00AD4DAD"/>
    <w:rsid w:val="00AD631E"/>
    <w:rsid w:val="00AE3051"/>
    <w:rsid w:val="00AE71E3"/>
    <w:rsid w:val="00AF2B4D"/>
    <w:rsid w:val="00AF7509"/>
    <w:rsid w:val="00AF7A90"/>
    <w:rsid w:val="00B00B65"/>
    <w:rsid w:val="00B03DB6"/>
    <w:rsid w:val="00B14AC3"/>
    <w:rsid w:val="00B25A98"/>
    <w:rsid w:val="00B3070A"/>
    <w:rsid w:val="00B33E3C"/>
    <w:rsid w:val="00B624D3"/>
    <w:rsid w:val="00B63E0D"/>
    <w:rsid w:val="00B86959"/>
    <w:rsid w:val="00B906AB"/>
    <w:rsid w:val="00BC6F8D"/>
    <w:rsid w:val="00BE7CF1"/>
    <w:rsid w:val="00BF14C3"/>
    <w:rsid w:val="00BF3414"/>
    <w:rsid w:val="00BF6D9D"/>
    <w:rsid w:val="00BF7F53"/>
    <w:rsid w:val="00C02779"/>
    <w:rsid w:val="00C03AEC"/>
    <w:rsid w:val="00C064F3"/>
    <w:rsid w:val="00C1570D"/>
    <w:rsid w:val="00C21D9E"/>
    <w:rsid w:val="00C304BF"/>
    <w:rsid w:val="00C334AD"/>
    <w:rsid w:val="00C51291"/>
    <w:rsid w:val="00C535A2"/>
    <w:rsid w:val="00C54931"/>
    <w:rsid w:val="00C632A3"/>
    <w:rsid w:val="00C77BD9"/>
    <w:rsid w:val="00C84F5D"/>
    <w:rsid w:val="00CA2D03"/>
    <w:rsid w:val="00CD4B0B"/>
    <w:rsid w:val="00CE57A2"/>
    <w:rsid w:val="00CF56C7"/>
    <w:rsid w:val="00D02594"/>
    <w:rsid w:val="00D04A7F"/>
    <w:rsid w:val="00D0668F"/>
    <w:rsid w:val="00D144DB"/>
    <w:rsid w:val="00D27674"/>
    <w:rsid w:val="00D32B96"/>
    <w:rsid w:val="00D347AF"/>
    <w:rsid w:val="00D449AD"/>
    <w:rsid w:val="00D603F0"/>
    <w:rsid w:val="00D6307D"/>
    <w:rsid w:val="00D659F6"/>
    <w:rsid w:val="00D714F0"/>
    <w:rsid w:val="00D718AE"/>
    <w:rsid w:val="00D83996"/>
    <w:rsid w:val="00D92CBA"/>
    <w:rsid w:val="00DA2DE7"/>
    <w:rsid w:val="00DB22AC"/>
    <w:rsid w:val="00DB4743"/>
    <w:rsid w:val="00DB49A6"/>
    <w:rsid w:val="00DB5366"/>
    <w:rsid w:val="00DC7AAF"/>
    <w:rsid w:val="00DD7BA0"/>
    <w:rsid w:val="00DE092E"/>
    <w:rsid w:val="00DE14F7"/>
    <w:rsid w:val="00DE3FB8"/>
    <w:rsid w:val="00E17BC5"/>
    <w:rsid w:val="00E25E88"/>
    <w:rsid w:val="00E71743"/>
    <w:rsid w:val="00E95B25"/>
    <w:rsid w:val="00EA7A5D"/>
    <w:rsid w:val="00EC1D5E"/>
    <w:rsid w:val="00ED717C"/>
    <w:rsid w:val="00EE0567"/>
    <w:rsid w:val="00EE5D72"/>
    <w:rsid w:val="00EE68AA"/>
    <w:rsid w:val="00EE7A73"/>
    <w:rsid w:val="00F1300B"/>
    <w:rsid w:val="00F14E31"/>
    <w:rsid w:val="00F311A6"/>
    <w:rsid w:val="00F35F0F"/>
    <w:rsid w:val="00F44F90"/>
    <w:rsid w:val="00F45FBF"/>
    <w:rsid w:val="00F46F95"/>
    <w:rsid w:val="00F56447"/>
    <w:rsid w:val="00F604F5"/>
    <w:rsid w:val="00F64332"/>
    <w:rsid w:val="00F718D0"/>
    <w:rsid w:val="00F82C88"/>
    <w:rsid w:val="00F84B22"/>
    <w:rsid w:val="00F87452"/>
    <w:rsid w:val="00FA3416"/>
    <w:rsid w:val="00FB4B7E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552"/>
  <w15:chartTrackingRefBased/>
  <w15:docId w15:val="{46120D1C-4985-4B10-B5A1-FF591FA4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EA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CEE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CEE"/>
    <w:pPr>
      <w:keepNext/>
      <w:keepLines/>
      <w:spacing w:before="18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56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56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56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56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56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56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">
    <w:name w:val="z"/>
    <w:basedOn w:val="Normal"/>
    <w:rsid w:val="00B25A98"/>
    <w:pPr>
      <w:spacing w:after="60"/>
      <w:ind w:left="454" w:hanging="454"/>
    </w:pPr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2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562CEE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6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6B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E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2E4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7A90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Texti1">
    <w:name w:val="Texti 1"/>
    <w:basedOn w:val="Normal"/>
    <w:qFormat/>
    <w:rsid w:val="00290C20"/>
    <w:pPr>
      <w:spacing w:line="288" w:lineRule="auto"/>
      <w:jc w:val="both"/>
    </w:pPr>
    <w:rPr>
      <w:lang w:eastAsia="is-IS"/>
    </w:rPr>
  </w:style>
  <w:style w:type="paragraph" w:customStyle="1" w:styleId="Texti2">
    <w:name w:val="Texti 2"/>
    <w:basedOn w:val="Texti1"/>
    <w:qFormat/>
    <w:rsid w:val="00562CEE"/>
  </w:style>
  <w:style w:type="table" w:styleId="TableGrid">
    <w:name w:val="Table Grid"/>
    <w:basedOn w:val="TableNormal"/>
    <w:uiPriority w:val="39"/>
    <w:rsid w:val="0029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41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5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5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5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5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4-Accent1">
    <w:name w:val="Grid Table 4 Accent 1"/>
    <w:basedOn w:val="TableNormal"/>
    <w:uiPriority w:val="49"/>
    <w:rsid w:val="00B03DB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3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B6"/>
  </w:style>
  <w:style w:type="paragraph" w:styleId="Footer">
    <w:name w:val="footer"/>
    <w:basedOn w:val="Normal"/>
    <w:link w:val="FooterChar"/>
    <w:uiPriority w:val="99"/>
    <w:unhideWhenUsed/>
    <w:rsid w:val="00B03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B6"/>
  </w:style>
  <w:style w:type="paragraph" w:styleId="NoSpacing">
    <w:name w:val="No Spacing"/>
    <w:link w:val="NoSpacingChar"/>
    <w:uiPriority w:val="1"/>
    <w:qFormat/>
    <w:rsid w:val="00B03DB6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3DB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1285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B3247"/>
    <w:pPr>
      <w:tabs>
        <w:tab w:val="left" w:pos="397"/>
        <w:tab w:val="right" w:leader="underscore" w:pos="9628"/>
      </w:tabs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62CEE"/>
    <w:pPr>
      <w:spacing w:before="120"/>
      <w:ind w:left="198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491E72"/>
    <w:pPr>
      <w:ind w:left="40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B5366"/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91E72"/>
    <w:pPr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91E72"/>
    <w:pPr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91E72"/>
    <w:pPr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91E72"/>
    <w:pPr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91E72"/>
    <w:pPr>
      <w:ind w:left="1600"/>
    </w:pPr>
    <w:rPr>
      <w:rFonts w:cstheme="minorHAnsi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91E72"/>
    <w:rPr>
      <w:rFonts w:cstheme="minorHAnsi"/>
      <w:i/>
      <w:i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11A6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A2570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B7E74"/>
    <w:rPr>
      <w:color w:val="954F72" w:themeColor="followedHyperlink"/>
      <w:u w:val="single"/>
    </w:rPr>
  </w:style>
  <w:style w:type="paragraph" w:customStyle="1" w:styleId="Heimildir">
    <w:name w:val="Heimildir"/>
    <w:basedOn w:val="Normal"/>
    <w:qFormat/>
    <w:rsid w:val="000F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sir.is/g/20121051781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ictormochere.com/is/top-20-most-spoken-languages-in-the-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A0BBA-9382-4603-9965-D22EFB6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[Document subtitle]</dc:subject>
  <dc:creator>Nafnið þitt (fullt nafn)</dc:creator>
  <cp:keywords>V-2024</cp:keywords>
  <dc:description>V-2024</dc:description>
  <cp:lastModifiedBy>Jóhanna Geirsdóttir - FB</cp:lastModifiedBy>
  <cp:revision>12</cp:revision>
  <cp:lastPrinted>2022-10-31T13:11:00Z</cp:lastPrinted>
  <dcterms:created xsi:type="dcterms:W3CDTF">2023-07-21T09:35:00Z</dcterms:created>
  <dcterms:modified xsi:type="dcterms:W3CDTF">2024-01-12T13:43:00Z</dcterms:modified>
  <cp:category>V-2024</cp:category>
  <cp:contentStatus>V-2024</cp:contentStatus>
</cp:coreProperties>
</file>