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15" w:rsidRDefault="00222115" w:rsidP="00222115">
      <w:bookmarkStart w:id="0" w:name="_GoBack"/>
      <w:bookmarkEnd w:id="0"/>
      <w:r w:rsidRPr="007836F0">
        <w:t>Efnahagsreikningur gefur upplýsingar um skulda- og eignastöðu fyrirtækis á ákveðnum tímapunkti, yfirleitt í lok árs.</w:t>
      </w:r>
    </w:p>
    <w:p w:rsidR="00C16CCA" w:rsidRPr="00C16CCA" w:rsidRDefault="00C16CCA" w:rsidP="00C16CCA">
      <w:pPr>
        <w:spacing w:before="240" w:after="120"/>
        <w:rPr>
          <w:b/>
          <w:sz w:val="32"/>
        </w:rPr>
      </w:pPr>
      <w:r w:rsidRPr="00C16CCA">
        <w:rPr>
          <w:b/>
          <w:sz w:val="32"/>
        </w:rPr>
        <w:t>Efnahagsreikningur</w:t>
      </w:r>
    </w:p>
    <w:p w:rsidR="00222115" w:rsidRPr="007836F0" w:rsidRDefault="00222115" w:rsidP="00222115">
      <w:pPr>
        <w:pBdr>
          <w:top w:val="single" w:sz="4" w:space="1" w:color="auto"/>
        </w:pBdr>
        <w:tabs>
          <w:tab w:val="center" w:pos="4706"/>
          <w:tab w:val="right" w:pos="6804"/>
          <w:tab w:val="right" w:pos="9072"/>
        </w:tabs>
        <w:rPr>
          <w:rFonts w:cstheme="minorHAnsi"/>
          <w:szCs w:val="28"/>
        </w:rPr>
      </w:pPr>
    </w:p>
    <w:p w:rsidR="00222115" w:rsidRPr="007836F0" w:rsidRDefault="00222115" w:rsidP="00222115">
      <w:pPr>
        <w:pBdr>
          <w:top w:val="single" w:sz="4" w:space="1" w:color="auto"/>
        </w:pBdr>
        <w:tabs>
          <w:tab w:val="right" w:pos="6804"/>
          <w:tab w:val="right" w:pos="9072"/>
        </w:tabs>
        <w:spacing w:after="120"/>
        <w:rPr>
          <w:rFonts w:cstheme="minorHAnsi"/>
          <w:b/>
        </w:rPr>
      </w:pPr>
      <w:r w:rsidRPr="007836F0">
        <w:rPr>
          <w:rFonts w:cstheme="minorHAnsi"/>
          <w:b/>
        </w:rPr>
        <w:t xml:space="preserve">Allar tölur eru í milljónum kr. </w:t>
      </w:r>
      <w:r w:rsidRPr="007836F0">
        <w:rPr>
          <w:rFonts w:cstheme="minorHAnsi"/>
          <w:b/>
        </w:rPr>
        <w:tab/>
        <w:t>31.12.2009</w:t>
      </w:r>
      <w:r w:rsidRPr="007836F0">
        <w:rPr>
          <w:rFonts w:cstheme="minorHAnsi"/>
          <w:b/>
        </w:rPr>
        <w:tab/>
        <w:t>31.12. 2008</w:t>
      </w:r>
    </w:p>
    <w:p w:rsidR="00222115" w:rsidRPr="007836F0" w:rsidRDefault="00222115" w:rsidP="00222115">
      <w:pPr>
        <w:tabs>
          <w:tab w:val="left" w:pos="4286"/>
          <w:tab w:val="left" w:pos="5262"/>
          <w:tab w:val="left" w:pos="6318"/>
        </w:tabs>
        <w:spacing w:before="240" w:after="120"/>
        <w:rPr>
          <w:rFonts w:cs="Calibri"/>
          <w:b/>
          <w:color w:val="000000"/>
          <w:sz w:val="28"/>
          <w:lang w:eastAsia="is-IS"/>
        </w:rPr>
      </w:pPr>
      <w:r w:rsidRPr="007836F0">
        <w:rPr>
          <w:rFonts w:cstheme="minorHAnsi"/>
          <w:b/>
          <w:bCs/>
          <w:color w:val="000000"/>
          <w:sz w:val="28"/>
          <w:lang w:eastAsia="is-IS"/>
        </w:rPr>
        <w:t>Eignir</w:t>
      </w:r>
    </w:p>
    <w:p w:rsidR="00222115" w:rsidRPr="00EE369A" w:rsidRDefault="00222115" w:rsidP="00222115">
      <w:pPr>
        <w:tabs>
          <w:tab w:val="left" w:pos="4286"/>
          <w:tab w:val="left" w:pos="5262"/>
          <w:tab w:val="left" w:pos="6318"/>
        </w:tabs>
        <w:spacing w:before="120" w:after="60"/>
        <w:rPr>
          <w:rFonts w:cs="Calibri"/>
          <w:sz w:val="24"/>
          <w:lang w:eastAsia="is-IS"/>
        </w:rPr>
      </w:pPr>
      <w:r w:rsidRPr="00EE369A">
        <w:rPr>
          <w:rFonts w:cs="Calibri"/>
          <w:b/>
          <w:bCs/>
          <w:sz w:val="24"/>
          <w:lang w:eastAsia="is-IS"/>
        </w:rPr>
        <w:t>Áhættufjármunir og langtímakröfur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Eignahlutir í fyrirtækjum og hlutafé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190.375</w:t>
      </w:r>
      <w:r w:rsidRPr="00EE369A">
        <w:rPr>
          <w:rFonts w:cs="Calibri"/>
          <w:lang w:eastAsia="is-IS"/>
        </w:rPr>
        <w:tab/>
        <w:t>187.644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Erlent stofnfé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7.381</w:t>
      </w:r>
      <w:r w:rsidRPr="00EE369A">
        <w:rPr>
          <w:rFonts w:cs="Calibri"/>
          <w:lang w:eastAsia="is-IS"/>
        </w:rPr>
        <w:tab/>
        <w:t>4.236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Veitt löng lán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471.912</w:t>
      </w:r>
      <w:r w:rsidRPr="00EE369A">
        <w:rPr>
          <w:rFonts w:cs="Calibri"/>
          <w:lang w:eastAsia="is-IS"/>
        </w:rPr>
        <w:tab/>
        <w:t>174.441</w:t>
      </w:r>
    </w:p>
    <w:p w:rsidR="00222115" w:rsidRPr="00EE369A" w:rsidRDefault="00222115" w:rsidP="00222115">
      <w:pPr>
        <w:spacing w:after="60"/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Næsta árs afborganir fluttar á skammtímakröfur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-101.269</w:t>
      </w:r>
      <w:r w:rsidRPr="00EE369A">
        <w:rPr>
          <w:rFonts w:cs="Calibri"/>
          <w:lang w:eastAsia="is-IS"/>
        </w:rPr>
        <w:tab/>
        <w:t>-100.587</w:t>
      </w:r>
    </w:p>
    <w:p w:rsidR="00222115" w:rsidRPr="00E12960" w:rsidRDefault="00222115" w:rsidP="00E12960">
      <w:pPr>
        <w:spacing w:after="60"/>
        <w:rPr>
          <w:rFonts w:cs="Calibri"/>
          <w:lang w:eastAsia="is-IS"/>
        </w:rPr>
      </w:pPr>
      <w:r w:rsidRPr="00E12960">
        <w:rPr>
          <w:rFonts w:cs="Calibri"/>
          <w:lang w:eastAsia="is-IS"/>
        </w:rPr>
        <w:t>Áhættufjármunir og langtímakröfur samtals</w:t>
      </w:r>
      <w:r w:rsidRPr="00E12960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568.399</w:t>
      </w:r>
      <w:r w:rsidRPr="00E12960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>265.734</w:t>
      </w:r>
    </w:p>
    <w:p w:rsidR="00222115" w:rsidRPr="00EE369A" w:rsidRDefault="00222115" w:rsidP="00222115">
      <w:pPr>
        <w:spacing w:before="120" w:after="60"/>
        <w:rPr>
          <w:rFonts w:cs="Calibri"/>
          <w:b/>
          <w:bCs/>
          <w:sz w:val="24"/>
          <w:lang w:eastAsia="is-IS"/>
        </w:rPr>
      </w:pPr>
      <w:r w:rsidRPr="00EE369A">
        <w:rPr>
          <w:rFonts w:cs="Calibri"/>
          <w:b/>
          <w:bCs/>
          <w:sz w:val="24"/>
          <w:lang w:eastAsia="is-IS"/>
        </w:rPr>
        <w:t>Veltufjármunir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Vöru- og efnisbirgðir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1.785</w:t>
      </w:r>
      <w:r w:rsidRPr="00EE369A">
        <w:rPr>
          <w:rFonts w:cs="Calibri"/>
          <w:lang w:eastAsia="is-IS"/>
        </w:rPr>
        <w:tab/>
        <w:t>1.498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Óinnheimtar tekjur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109.203</w:t>
      </w:r>
      <w:r w:rsidRPr="00EE369A">
        <w:rPr>
          <w:rFonts w:cs="Calibri"/>
          <w:lang w:eastAsia="is-IS"/>
        </w:rPr>
        <w:tab/>
        <w:t>97.751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Skammtímakröfur, aðrar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15.638</w:t>
      </w:r>
      <w:r w:rsidRPr="00EE369A">
        <w:rPr>
          <w:rFonts w:cs="Calibri"/>
          <w:lang w:eastAsia="is-IS"/>
        </w:rPr>
        <w:tab/>
        <w:t>12.024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Næsta árs afborganir af veittum löngum lánum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34.269</w:t>
      </w:r>
      <w:r w:rsidRPr="00EE369A">
        <w:rPr>
          <w:rFonts w:cs="Calibri"/>
          <w:lang w:eastAsia="is-IS"/>
        </w:rPr>
        <w:tab/>
        <w:t>15.587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Handbært fé, nettó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184.192</w:t>
      </w:r>
      <w:r w:rsidRPr="00EE369A">
        <w:rPr>
          <w:rFonts w:cs="Calibri"/>
          <w:lang w:eastAsia="is-IS"/>
        </w:rPr>
        <w:tab/>
        <w:t>104.299</w:t>
      </w:r>
    </w:p>
    <w:p w:rsidR="00222115" w:rsidRPr="00EE369A" w:rsidRDefault="00222115" w:rsidP="00222115">
      <w:pPr>
        <w:spacing w:after="60"/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Veltufjármunir samtals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345.087</w:t>
      </w:r>
      <w:r w:rsidRPr="00EE369A">
        <w:rPr>
          <w:rFonts w:cs="Calibri"/>
          <w:lang w:eastAsia="is-IS"/>
        </w:rPr>
        <w:tab/>
        <w:t>231.159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theme="minorHAnsi"/>
          <w:b/>
          <w:bCs/>
          <w:noProof/>
          <w:lang w:eastAsia="is-IS"/>
        </w:rPr>
        <w:t>Eignir samtals</w:t>
      </w:r>
      <w:r w:rsidRPr="00EE369A">
        <w:rPr>
          <w:rFonts w:cs="Calibri"/>
          <w:b/>
          <w:bCs/>
          <w:lang w:eastAsia="is-IS"/>
        </w:rPr>
        <w:tab/>
      </w:r>
      <w:r w:rsidRPr="00EE369A">
        <w:rPr>
          <w:rFonts w:cs="Calibri"/>
          <w:lang w:eastAsia="is-IS"/>
        </w:rPr>
        <w:tab/>
        <w:t>913.486</w:t>
      </w:r>
      <w:r w:rsidRPr="00EE369A">
        <w:rPr>
          <w:rFonts w:cs="Calibri"/>
          <w:b/>
          <w:lang w:eastAsia="is-IS"/>
        </w:rPr>
        <w:tab/>
      </w:r>
      <w:r w:rsidRPr="00EE369A">
        <w:rPr>
          <w:rFonts w:cs="Calibri"/>
          <w:lang w:eastAsia="is-IS"/>
        </w:rPr>
        <w:t>496.893</w:t>
      </w:r>
    </w:p>
    <w:p w:rsidR="00222115" w:rsidRPr="00EE369A" w:rsidRDefault="00222115" w:rsidP="00222115">
      <w:pPr>
        <w:spacing w:before="240" w:after="120"/>
        <w:rPr>
          <w:rFonts w:cstheme="minorHAnsi"/>
          <w:b/>
          <w:bCs/>
          <w:sz w:val="28"/>
          <w:lang w:eastAsia="is-IS"/>
        </w:rPr>
      </w:pPr>
      <w:r w:rsidRPr="00EE369A">
        <w:rPr>
          <w:rFonts w:cstheme="minorHAnsi"/>
          <w:b/>
          <w:bCs/>
          <w:sz w:val="28"/>
          <w:lang w:eastAsia="is-IS"/>
        </w:rPr>
        <w:t>Eigið fé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Eigið fé í ársbyrjun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9.692</w:t>
      </w:r>
      <w:r w:rsidRPr="00EE369A">
        <w:rPr>
          <w:rFonts w:cs="Calibri"/>
          <w:lang w:eastAsia="is-IS"/>
        </w:rPr>
        <w:tab/>
        <w:t>-63.376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Endurmat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-135.265</w:t>
      </w:r>
      <w:r w:rsidRPr="00EE369A">
        <w:rPr>
          <w:rFonts w:cs="Calibri"/>
          <w:lang w:eastAsia="is-IS"/>
        </w:rPr>
        <w:tab/>
        <w:t>-14.932</w:t>
      </w:r>
    </w:p>
    <w:p w:rsidR="00222115" w:rsidRPr="00EE369A" w:rsidRDefault="00222115" w:rsidP="00222115">
      <w:pPr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Breyting annars eigin fjár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52</w:t>
      </w:r>
      <w:r w:rsidRPr="00EE369A">
        <w:rPr>
          <w:rFonts w:cs="Calibri"/>
          <w:lang w:eastAsia="is-IS"/>
        </w:rPr>
        <w:tab/>
        <w:t>-605</w:t>
      </w:r>
    </w:p>
    <w:p w:rsidR="00222115" w:rsidRPr="00EE369A" w:rsidRDefault="00222115" w:rsidP="00222115">
      <w:pPr>
        <w:spacing w:after="60"/>
        <w:rPr>
          <w:rFonts w:cs="Calibri"/>
          <w:lang w:eastAsia="is-IS"/>
        </w:rPr>
      </w:pPr>
      <w:r w:rsidRPr="00EE369A">
        <w:rPr>
          <w:rFonts w:cs="Calibri"/>
          <w:lang w:eastAsia="is-IS"/>
        </w:rPr>
        <w:t>Tekjujöfnuður</w:t>
      </w:r>
      <w:r w:rsidRPr="00EE369A">
        <w:rPr>
          <w:rFonts w:cs="Calibri"/>
          <w:lang w:eastAsia="is-IS"/>
        </w:rPr>
        <w:tab/>
      </w:r>
      <w:r w:rsidRPr="00EE369A">
        <w:rPr>
          <w:rFonts w:cs="Calibri"/>
          <w:lang w:eastAsia="is-IS"/>
        </w:rPr>
        <w:tab/>
        <w:t>-215.979</w:t>
      </w:r>
      <w:r w:rsidRPr="00EE369A">
        <w:rPr>
          <w:rFonts w:cs="Calibri"/>
          <w:lang w:eastAsia="is-IS"/>
        </w:rPr>
        <w:tab/>
        <w:t>88.604</w:t>
      </w:r>
    </w:p>
    <w:p w:rsidR="00222115" w:rsidRPr="00EE369A" w:rsidRDefault="00222115" w:rsidP="00222115">
      <w:pPr>
        <w:rPr>
          <w:rFonts w:cstheme="minorHAnsi"/>
          <w:b/>
          <w:bCs/>
          <w:noProof/>
          <w:lang w:eastAsia="is-IS"/>
        </w:rPr>
      </w:pPr>
      <w:r w:rsidRPr="00EE369A">
        <w:rPr>
          <w:rFonts w:cstheme="minorHAnsi"/>
          <w:b/>
          <w:bCs/>
          <w:noProof/>
          <w:lang w:eastAsia="is-IS"/>
        </w:rPr>
        <w:t>Eigið fé í árslok</w:t>
      </w:r>
      <w:r w:rsidRPr="00EE369A">
        <w:rPr>
          <w:rFonts w:cstheme="minorHAnsi"/>
          <w:b/>
          <w:bCs/>
          <w:noProof/>
          <w:lang w:eastAsia="is-IS"/>
        </w:rPr>
        <w:tab/>
      </w:r>
      <w:r w:rsidRPr="00EE369A">
        <w:rPr>
          <w:rFonts w:cstheme="minorHAnsi"/>
          <w:bCs/>
          <w:noProof/>
          <w:lang w:eastAsia="is-IS"/>
        </w:rPr>
        <w:tab/>
        <w:t>-341.500</w:t>
      </w:r>
      <w:r w:rsidRPr="00EE369A">
        <w:rPr>
          <w:rFonts w:cstheme="minorHAnsi"/>
          <w:b/>
          <w:bCs/>
          <w:noProof/>
          <w:lang w:eastAsia="is-IS"/>
        </w:rPr>
        <w:tab/>
        <w:t>9.691</w:t>
      </w:r>
    </w:p>
    <w:p w:rsidR="00A00F43" w:rsidRPr="00222115" w:rsidRDefault="00A00F43" w:rsidP="00222115"/>
    <w:sectPr w:rsidR="00A00F43" w:rsidRPr="00222115" w:rsidSect="00C90FA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8F" w:rsidRDefault="0066548F" w:rsidP="00762669">
      <w:r>
        <w:separator/>
      </w:r>
    </w:p>
  </w:endnote>
  <w:endnote w:type="continuationSeparator" w:id="0">
    <w:p w:rsidR="0066548F" w:rsidRDefault="0066548F" w:rsidP="007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8F" w:rsidRDefault="0066548F" w:rsidP="00762669">
      <w:r>
        <w:separator/>
      </w:r>
    </w:p>
  </w:footnote>
  <w:footnote w:type="continuationSeparator" w:id="0">
    <w:p w:rsidR="0066548F" w:rsidRDefault="0066548F" w:rsidP="007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D3"/>
    <w:rsid w:val="00001B24"/>
    <w:rsid w:val="00025923"/>
    <w:rsid w:val="0003777A"/>
    <w:rsid w:val="000469F0"/>
    <w:rsid w:val="00055991"/>
    <w:rsid w:val="00067E8D"/>
    <w:rsid w:val="00071DA7"/>
    <w:rsid w:val="000862C5"/>
    <w:rsid w:val="000930C2"/>
    <w:rsid w:val="000948FA"/>
    <w:rsid w:val="000A7EEE"/>
    <w:rsid w:val="000C3808"/>
    <w:rsid w:val="000D12B1"/>
    <w:rsid w:val="000E0A31"/>
    <w:rsid w:val="000E12EA"/>
    <w:rsid w:val="000F1674"/>
    <w:rsid w:val="000F27D3"/>
    <w:rsid w:val="000F3303"/>
    <w:rsid w:val="000F655A"/>
    <w:rsid w:val="001029A1"/>
    <w:rsid w:val="00103162"/>
    <w:rsid w:val="00120B2E"/>
    <w:rsid w:val="00125265"/>
    <w:rsid w:val="001320A8"/>
    <w:rsid w:val="0015648F"/>
    <w:rsid w:val="00191134"/>
    <w:rsid w:val="00194416"/>
    <w:rsid w:val="001C57B3"/>
    <w:rsid w:val="001E6C2D"/>
    <w:rsid w:val="00207261"/>
    <w:rsid w:val="00220EE5"/>
    <w:rsid w:val="00222115"/>
    <w:rsid w:val="00232432"/>
    <w:rsid w:val="0024186F"/>
    <w:rsid w:val="0024727D"/>
    <w:rsid w:val="00273FAA"/>
    <w:rsid w:val="00275FD3"/>
    <w:rsid w:val="00280765"/>
    <w:rsid w:val="00294357"/>
    <w:rsid w:val="002B3E1C"/>
    <w:rsid w:val="002C6221"/>
    <w:rsid w:val="002D0248"/>
    <w:rsid w:val="002E508A"/>
    <w:rsid w:val="002E7885"/>
    <w:rsid w:val="003018CD"/>
    <w:rsid w:val="00303DF7"/>
    <w:rsid w:val="00320051"/>
    <w:rsid w:val="003200ED"/>
    <w:rsid w:val="00322524"/>
    <w:rsid w:val="003754E0"/>
    <w:rsid w:val="00396CE0"/>
    <w:rsid w:val="003B4E8A"/>
    <w:rsid w:val="003C54BD"/>
    <w:rsid w:val="003D2EC8"/>
    <w:rsid w:val="003E0052"/>
    <w:rsid w:val="003F03AD"/>
    <w:rsid w:val="003F1973"/>
    <w:rsid w:val="0040043D"/>
    <w:rsid w:val="00412A6F"/>
    <w:rsid w:val="0041600B"/>
    <w:rsid w:val="00427FE5"/>
    <w:rsid w:val="00434802"/>
    <w:rsid w:val="00444BB1"/>
    <w:rsid w:val="00480E38"/>
    <w:rsid w:val="00487BBC"/>
    <w:rsid w:val="00492DC7"/>
    <w:rsid w:val="004A02F7"/>
    <w:rsid w:val="004E76B1"/>
    <w:rsid w:val="004F10E4"/>
    <w:rsid w:val="00517AEE"/>
    <w:rsid w:val="005314F7"/>
    <w:rsid w:val="0053150C"/>
    <w:rsid w:val="005626CD"/>
    <w:rsid w:val="00564D50"/>
    <w:rsid w:val="00565D80"/>
    <w:rsid w:val="00586010"/>
    <w:rsid w:val="005A765A"/>
    <w:rsid w:val="005C6483"/>
    <w:rsid w:val="006222BD"/>
    <w:rsid w:val="00623DE3"/>
    <w:rsid w:val="0062728D"/>
    <w:rsid w:val="00633912"/>
    <w:rsid w:val="00640823"/>
    <w:rsid w:val="00645682"/>
    <w:rsid w:val="00647226"/>
    <w:rsid w:val="0066548F"/>
    <w:rsid w:val="006678E8"/>
    <w:rsid w:val="0068120F"/>
    <w:rsid w:val="006A2E4D"/>
    <w:rsid w:val="006A372F"/>
    <w:rsid w:val="006B5B64"/>
    <w:rsid w:val="006B6A9B"/>
    <w:rsid w:val="006C22CE"/>
    <w:rsid w:val="006C7AA7"/>
    <w:rsid w:val="0070756A"/>
    <w:rsid w:val="00716C39"/>
    <w:rsid w:val="00762669"/>
    <w:rsid w:val="007708B6"/>
    <w:rsid w:val="007B5508"/>
    <w:rsid w:val="007C0BDF"/>
    <w:rsid w:val="007D56A2"/>
    <w:rsid w:val="00807580"/>
    <w:rsid w:val="00811261"/>
    <w:rsid w:val="00825290"/>
    <w:rsid w:val="008259A1"/>
    <w:rsid w:val="00825DE5"/>
    <w:rsid w:val="0085487C"/>
    <w:rsid w:val="00855629"/>
    <w:rsid w:val="008557F2"/>
    <w:rsid w:val="00863BA2"/>
    <w:rsid w:val="008A1A37"/>
    <w:rsid w:val="008A5DB9"/>
    <w:rsid w:val="008E2111"/>
    <w:rsid w:val="008F4D2F"/>
    <w:rsid w:val="008F5BFD"/>
    <w:rsid w:val="009144CA"/>
    <w:rsid w:val="00946C26"/>
    <w:rsid w:val="00950899"/>
    <w:rsid w:val="00957892"/>
    <w:rsid w:val="009748D4"/>
    <w:rsid w:val="009B1C1D"/>
    <w:rsid w:val="009D15B9"/>
    <w:rsid w:val="00A00F2E"/>
    <w:rsid w:val="00A00F43"/>
    <w:rsid w:val="00A041DF"/>
    <w:rsid w:val="00A2326C"/>
    <w:rsid w:val="00A47239"/>
    <w:rsid w:val="00A51065"/>
    <w:rsid w:val="00A54B5A"/>
    <w:rsid w:val="00A556E3"/>
    <w:rsid w:val="00A6780C"/>
    <w:rsid w:val="00A746BD"/>
    <w:rsid w:val="00A8637B"/>
    <w:rsid w:val="00A87A19"/>
    <w:rsid w:val="00A90778"/>
    <w:rsid w:val="00AA1228"/>
    <w:rsid w:val="00AA5303"/>
    <w:rsid w:val="00AB282E"/>
    <w:rsid w:val="00AC31CA"/>
    <w:rsid w:val="00AC3BFA"/>
    <w:rsid w:val="00AF240D"/>
    <w:rsid w:val="00AF789A"/>
    <w:rsid w:val="00AF7DB6"/>
    <w:rsid w:val="00B31C5E"/>
    <w:rsid w:val="00B32F79"/>
    <w:rsid w:val="00B55A2A"/>
    <w:rsid w:val="00B601C3"/>
    <w:rsid w:val="00B70AA0"/>
    <w:rsid w:val="00B72D56"/>
    <w:rsid w:val="00B80320"/>
    <w:rsid w:val="00B948C6"/>
    <w:rsid w:val="00BA364E"/>
    <w:rsid w:val="00BA36BE"/>
    <w:rsid w:val="00BA740F"/>
    <w:rsid w:val="00BB527C"/>
    <w:rsid w:val="00C000C7"/>
    <w:rsid w:val="00C075C6"/>
    <w:rsid w:val="00C11D56"/>
    <w:rsid w:val="00C16CCA"/>
    <w:rsid w:val="00C16F8A"/>
    <w:rsid w:val="00C220D0"/>
    <w:rsid w:val="00C32BA4"/>
    <w:rsid w:val="00C34F87"/>
    <w:rsid w:val="00C836F6"/>
    <w:rsid w:val="00C90FA7"/>
    <w:rsid w:val="00CB0F9F"/>
    <w:rsid w:val="00CC6D16"/>
    <w:rsid w:val="00CD195E"/>
    <w:rsid w:val="00CD5EBD"/>
    <w:rsid w:val="00CF5F2F"/>
    <w:rsid w:val="00D151CA"/>
    <w:rsid w:val="00D2193D"/>
    <w:rsid w:val="00D431B0"/>
    <w:rsid w:val="00D73AAB"/>
    <w:rsid w:val="00D763D3"/>
    <w:rsid w:val="00D9592B"/>
    <w:rsid w:val="00DA2A82"/>
    <w:rsid w:val="00DC3315"/>
    <w:rsid w:val="00DE3488"/>
    <w:rsid w:val="00DF2846"/>
    <w:rsid w:val="00E05768"/>
    <w:rsid w:val="00E12960"/>
    <w:rsid w:val="00E15A94"/>
    <w:rsid w:val="00E27D46"/>
    <w:rsid w:val="00E3664C"/>
    <w:rsid w:val="00E40AB3"/>
    <w:rsid w:val="00E447AD"/>
    <w:rsid w:val="00E47783"/>
    <w:rsid w:val="00E63403"/>
    <w:rsid w:val="00E93358"/>
    <w:rsid w:val="00E937FB"/>
    <w:rsid w:val="00EA080B"/>
    <w:rsid w:val="00EA4700"/>
    <w:rsid w:val="00EC4E46"/>
    <w:rsid w:val="00ED631F"/>
    <w:rsid w:val="00EE369A"/>
    <w:rsid w:val="00F11718"/>
    <w:rsid w:val="00F21C55"/>
    <w:rsid w:val="00F321FD"/>
    <w:rsid w:val="00F40AB0"/>
    <w:rsid w:val="00F53AB0"/>
    <w:rsid w:val="00F65DCD"/>
    <w:rsid w:val="00F72F48"/>
    <w:rsid w:val="00FA179A"/>
    <w:rsid w:val="00FC1009"/>
    <w:rsid w:val="00FC616F"/>
    <w:rsid w:val="00FD33C2"/>
    <w:rsid w:val="00FE27E2"/>
    <w:rsid w:val="00FE4C58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CA"/>
    <w:rPr>
      <w:rFonts w:ascii="Calibri" w:hAnsi="Calibri"/>
      <w:szCs w:val="24"/>
      <w:lang w:val="is-I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6CCA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6CCA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6CCA"/>
    <w:pPr>
      <w:keepNext/>
      <w:spacing w:before="240" w:after="60"/>
      <w:outlineLvl w:val="5"/>
    </w:pPr>
    <w:rPr>
      <w:rFonts w:eastAsia="Times New Roman" w:cs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5FD3"/>
    <w:rPr>
      <w:b/>
      <w:bCs/>
    </w:rPr>
  </w:style>
  <w:style w:type="paragraph" w:styleId="Subtitle">
    <w:name w:val="Subtitle"/>
    <w:basedOn w:val="Normal"/>
    <w:uiPriority w:val="11"/>
    <w:qFormat/>
    <w:rsid w:val="00275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rsid w:val="00C16CCA"/>
    <w:rPr>
      <w:rFonts w:ascii="Cambria" w:hAnsi="Cambria" w:cs="Arial"/>
      <w:b/>
      <w:bCs/>
      <w:i/>
      <w:iCs/>
      <w:sz w:val="28"/>
      <w:szCs w:val="28"/>
      <w:lang w:val="is-IS" w:eastAsia="en-GB"/>
    </w:rPr>
  </w:style>
  <w:style w:type="character" w:styleId="Hyperlink">
    <w:name w:val="Hyperlink"/>
    <w:basedOn w:val="DefaultParagraphFont"/>
    <w:uiPriority w:val="99"/>
    <w:unhideWhenUsed/>
    <w:rsid w:val="00FC10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009"/>
    <w:pPr>
      <w:spacing w:before="100" w:beforeAutospacing="1" w:after="100" w:afterAutospacing="1"/>
    </w:pPr>
    <w:rPr>
      <w:rFonts w:ascii="Times New Roman" w:hAnsi="Times New Roman"/>
      <w:sz w:val="24"/>
      <w:lang w:eastAsia="is-IS"/>
    </w:rPr>
  </w:style>
  <w:style w:type="character" w:customStyle="1" w:styleId="editsection">
    <w:name w:val="editsection"/>
    <w:basedOn w:val="DefaultParagraphFont"/>
    <w:rsid w:val="00FC1009"/>
  </w:style>
  <w:style w:type="character" w:customStyle="1" w:styleId="mw-headline">
    <w:name w:val="mw-headline"/>
    <w:basedOn w:val="DefaultParagraphFont"/>
    <w:rsid w:val="00FC1009"/>
  </w:style>
  <w:style w:type="paragraph" w:styleId="FootnoteText">
    <w:name w:val="footnote text"/>
    <w:basedOn w:val="Normal"/>
    <w:link w:val="FootnoteTextChar"/>
    <w:rsid w:val="00CC6D16"/>
    <w:pPr>
      <w:tabs>
        <w:tab w:val="left" w:pos="227"/>
      </w:tabs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C6D16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762669"/>
    <w:rPr>
      <w:vertAlign w:val="superscript"/>
    </w:rPr>
  </w:style>
  <w:style w:type="paragraph" w:styleId="BalloonText">
    <w:name w:val="Balloon Text"/>
    <w:basedOn w:val="Normal"/>
    <w:link w:val="BalloonTextChar"/>
    <w:rsid w:val="00B5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A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character" w:customStyle="1" w:styleId="Heading3Char">
    <w:name w:val="Heading 3 Char"/>
    <w:basedOn w:val="DefaultParagraphFont"/>
    <w:link w:val="Heading3"/>
    <w:rsid w:val="00C16CCA"/>
    <w:rPr>
      <w:rFonts w:ascii="Cambria" w:eastAsia="Times New Roman" w:hAnsi="Cambria" w:cs="Arial"/>
      <w:b/>
      <w:bCs/>
      <w:sz w:val="26"/>
      <w:szCs w:val="26"/>
      <w:lang w:val="is-IS" w:eastAsia="en-GB"/>
    </w:rPr>
  </w:style>
  <w:style w:type="character" w:customStyle="1" w:styleId="Heading6Char">
    <w:name w:val="Heading 6 Char"/>
    <w:basedOn w:val="DefaultParagraphFont"/>
    <w:link w:val="Heading6"/>
    <w:rsid w:val="00C16CCA"/>
    <w:rPr>
      <w:rFonts w:ascii="Calibri" w:eastAsia="Times New Roman" w:hAnsi="Calibri" w:cs="Times New Roman"/>
      <w:b/>
      <w:bCs/>
      <w:sz w:val="24"/>
      <w:lang w:val="is-I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CCA"/>
    <w:rPr>
      <w:rFonts w:ascii="Calibri" w:hAnsi="Calibri"/>
      <w:szCs w:val="24"/>
      <w:lang w:val="is-I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6CCA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6CCA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6CCA"/>
    <w:pPr>
      <w:keepNext/>
      <w:spacing w:before="240" w:after="60"/>
      <w:outlineLvl w:val="5"/>
    </w:pPr>
    <w:rPr>
      <w:rFonts w:eastAsia="Times New Roman" w:cs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5FD3"/>
    <w:rPr>
      <w:b/>
      <w:bCs/>
    </w:rPr>
  </w:style>
  <w:style w:type="paragraph" w:styleId="Subtitle">
    <w:name w:val="Subtitle"/>
    <w:basedOn w:val="Normal"/>
    <w:uiPriority w:val="11"/>
    <w:qFormat/>
    <w:rsid w:val="00275F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rsid w:val="00C16CCA"/>
    <w:rPr>
      <w:rFonts w:ascii="Cambria" w:hAnsi="Cambria" w:cs="Arial"/>
      <w:b/>
      <w:bCs/>
      <w:i/>
      <w:iCs/>
      <w:sz w:val="28"/>
      <w:szCs w:val="28"/>
      <w:lang w:val="is-IS" w:eastAsia="en-GB"/>
    </w:rPr>
  </w:style>
  <w:style w:type="character" w:styleId="Hyperlink">
    <w:name w:val="Hyperlink"/>
    <w:basedOn w:val="DefaultParagraphFont"/>
    <w:uiPriority w:val="99"/>
    <w:unhideWhenUsed/>
    <w:rsid w:val="00FC10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1009"/>
    <w:pPr>
      <w:spacing w:before="100" w:beforeAutospacing="1" w:after="100" w:afterAutospacing="1"/>
    </w:pPr>
    <w:rPr>
      <w:rFonts w:ascii="Times New Roman" w:hAnsi="Times New Roman"/>
      <w:sz w:val="24"/>
      <w:lang w:eastAsia="is-IS"/>
    </w:rPr>
  </w:style>
  <w:style w:type="character" w:customStyle="1" w:styleId="editsection">
    <w:name w:val="editsection"/>
    <w:basedOn w:val="DefaultParagraphFont"/>
    <w:rsid w:val="00FC1009"/>
  </w:style>
  <w:style w:type="character" w:customStyle="1" w:styleId="mw-headline">
    <w:name w:val="mw-headline"/>
    <w:basedOn w:val="DefaultParagraphFont"/>
    <w:rsid w:val="00FC1009"/>
  </w:style>
  <w:style w:type="paragraph" w:styleId="FootnoteText">
    <w:name w:val="footnote text"/>
    <w:basedOn w:val="Normal"/>
    <w:link w:val="FootnoteTextChar"/>
    <w:rsid w:val="00CC6D16"/>
    <w:pPr>
      <w:tabs>
        <w:tab w:val="left" w:pos="227"/>
      </w:tabs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CC6D16"/>
    <w:rPr>
      <w:rFonts w:asciiTheme="minorHAnsi" w:hAnsiTheme="minorHAnsi"/>
      <w:sz w:val="18"/>
    </w:rPr>
  </w:style>
  <w:style w:type="character" w:styleId="FootnoteReference">
    <w:name w:val="footnote reference"/>
    <w:basedOn w:val="DefaultParagraphFont"/>
    <w:rsid w:val="00762669"/>
    <w:rPr>
      <w:vertAlign w:val="superscript"/>
    </w:rPr>
  </w:style>
  <w:style w:type="paragraph" w:styleId="BalloonText">
    <w:name w:val="Balloon Text"/>
    <w:basedOn w:val="Normal"/>
    <w:link w:val="BalloonTextChar"/>
    <w:rsid w:val="00B55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A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s-IS" w:eastAsia="en-GB"/>
    </w:rPr>
  </w:style>
  <w:style w:type="character" w:customStyle="1" w:styleId="Heading3Char">
    <w:name w:val="Heading 3 Char"/>
    <w:basedOn w:val="DefaultParagraphFont"/>
    <w:link w:val="Heading3"/>
    <w:rsid w:val="00C16CCA"/>
    <w:rPr>
      <w:rFonts w:ascii="Cambria" w:eastAsia="Times New Roman" w:hAnsi="Cambria" w:cs="Arial"/>
      <w:b/>
      <w:bCs/>
      <w:sz w:val="26"/>
      <w:szCs w:val="26"/>
      <w:lang w:val="is-IS" w:eastAsia="en-GB"/>
    </w:rPr>
  </w:style>
  <w:style w:type="character" w:customStyle="1" w:styleId="Heading6Char">
    <w:name w:val="Heading 6 Char"/>
    <w:basedOn w:val="DefaultParagraphFont"/>
    <w:link w:val="Heading6"/>
    <w:rsid w:val="00C16CCA"/>
    <w:rPr>
      <w:rFonts w:ascii="Calibri" w:eastAsia="Times New Roman" w:hAnsi="Calibri" w:cs="Times New Roman"/>
      <w:b/>
      <w:bCs/>
      <w:sz w:val="24"/>
      <w:lang w:val="is-I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AEA9-5027-4F44-B35F-27A18789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5</cp:revision>
  <dcterms:created xsi:type="dcterms:W3CDTF">2010-06-30T03:42:00Z</dcterms:created>
  <dcterms:modified xsi:type="dcterms:W3CDTF">2012-08-07T16:10:00Z</dcterms:modified>
</cp:coreProperties>
</file>